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CE6F" w14:textId="77777777" w:rsidR="0068172C" w:rsidRPr="002B4C65" w:rsidRDefault="002B4C65" w:rsidP="002B4C65">
      <w:pPr>
        <w:jc w:val="center"/>
        <w:rPr>
          <w:b/>
        </w:rPr>
      </w:pPr>
      <w:r w:rsidRPr="002B4C65">
        <w:rPr>
          <w:b/>
        </w:rPr>
        <w:t>Arizona Water Data Sets</w:t>
      </w:r>
    </w:p>
    <w:p w14:paraId="09343FA9" w14:textId="77777777" w:rsidR="002B4C65" w:rsidRDefault="002B4C65"/>
    <w:p w14:paraId="347AE6E0" w14:textId="77777777" w:rsidR="002B4C65" w:rsidRDefault="002B4C65">
      <w:r>
        <w:t xml:space="preserve">Each set of data presents a representation of some aspect(s) of the Central Arizona water system. Instructors should provide each group of students with two or three of these sets for the data set analysis activity to be conducted in class. </w:t>
      </w:r>
    </w:p>
    <w:p w14:paraId="69F7E6DB" w14:textId="77777777" w:rsidR="007C4D68" w:rsidRDefault="007C4D68"/>
    <w:p w14:paraId="66604456" w14:textId="77777777" w:rsidR="005E09AE" w:rsidRDefault="005E09AE" w:rsidP="005E09AE">
      <w:pPr>
        <w:pStyle w:val="ListParagraph"/>
        <w:numPr>
          <w:ilvl w:val="0"/>
          <w:numId w:val="1"/>
        </w:numPr>
      </w:pPr>
      <w:r>
        <w:t>Map of Ground Water Sources in Maricopa County (Central Arizona): Qualitative</w:t>
      </w:r>
    </w:p>
    <w:p w14:paraId="162A7CD9" w14:textId="77777777" w:rsidR="005E09AE" w:rsidRDefault="005E09AE" w:rsidP="005E09AE">
      <w:pPr>
        <w:pStyle w:val="ListParagraph"/>
        <w:numPr>
          <w:ilvl w:val="0"/>
          <w:numId w:val="1"/>
        </w:numPr>
      </w:pPr>
      <w:r>
        <w:t>Arizona Reservoir Storage: Quantitative</w:t>
      </w:r>
    </w:p>
    <w:p w14:paraId="77044FFE" w14:textId="77777777" w:rsidR="005E09AE" w:rsidRDefault="005E09AE" w:rsidP="005E09AE">
      <w:pPr>
        <w:pStyle w:val="ListParagraph"/>
        <w:numPr>
          <w:ilvl w:val="0"/>
          <w:numId w:val="1"/>
        </w:numPr>
      </w:pPr>
      <w:r>
        <w:t>Maricopa County Water Supply and Population: Quantitative</w:t>
      </w:r>
    </w:p>
    <w:p w14:paraId="7B7DC831" w14:textId="77777777" w:rsidR="005E09AE" w:rsidRDefault="005E09AE" w:rsidP="005E09AE">
      <w:pPr>
        <w:pStyle w:val="ListParagraph"/>
        <w:numPr>
          <w:ilvl w:val="0"/>
          <w:numId w:val="1"/>
        </w:numPr>
      </w:pPr>
      <w:r>
        <w:t>Phoenix Area Monsoon Rainfall: Quantitative</w:t>
      </w:r>
    </w:p>
    <w:p w14:paraId="237608FF" w14:textId="77777777" w:rsidR="005E09AE" w:rsidRDefault="005E09AE" w:rsidP="005E09AE">
      <w:pPr>
        <w:pStyle w:val="ListParagraph"/>
        <w:numPr>
          <w:ilvl w:val="0"/>
          <w:numId w:val="1"/>
        </w:numPr>
      </w:pPr>
      <w:r>
        <w:t>Phoenix Residents’ Perception of Water: Quantitative</w:t>
      </w:r>
    </w:p>
    <w:p w14:paraId="0243E898" w14:textId="77777777" w:rsidR="005E09AE" w:rsidRDefault="005E09AE" w:rsidP="005E09AE">
      <w:pPr>
        <w:pStyle w:val="ListParagraph"/>
        <w:numPr>
          <w:ilvl w:val="0"/>
          <w:numId w:val="1"/>
        </w:numPr>
      </w:pPr>
      <w:r>
        <w:t>Deserted Video: Qualitative</w:t>
      </w:r>
    </w:p>
    <w:p w14:paraId="023ECD6A" w14:textId="77777777" w:rsidR="005E09AE" w:rsidRDefault="005E09AE" w:rsidP="005E09AE">
      <w:pPr>
        <w:pStyle w:val="ListParagraph"/>
        <w:numPr>
          <w:ilvl w:val="0"/>
          <w:numId w:val="1"/>
        </w:numPr>
      </w:pPr>
      <w:r>
        <w:t>Photograph of Tempe Town Lake: Qualitative</w:t>
      </w:r>
    </w:p>
    <w:p w14:paraId="3E5B05D8" w14:textId="77777777" w:rsidR="005E09AE" w:rsidRDefault="005E09AE" w:rsidP="005E09AE">
      <w:pPr>
        <w:pStyle w:val="ListParagraph"/>
        <w:numPr>
          <w:ilvl w:val="0"/>
          <w:numId w:val="1"/>
        </w:numPr>
      </w:pPr>
      <w:r>
        <w:t>Literary Quotations: Qualitative</w:t>
      </w:r>
    </w:p>
    <w:p w14:paraId="44FC11FF" w14:textId="77777777" w:rsidR="007C4D68" w:rsidRDefault="007C4D68"/>
    <w:p w14:paraId="154B305E" w14:textId="77777777" w:rsidR="007C4D68" w:rsidRDefault="007C4D68"/>
    <w:p w14:paraId="008B39A1" w14:textId="77777777" w:rsidR="007C4D68" w:rsidRDefault="007C4D68">
      <w:pPr>
        <w:rPr>
          <w:rFonts w:eastAsia="Times New Roman" w:cs="Times New Roman"/>
        </w:rPr>
      </w:pPr>
      <w:r>
        <w:rPr>
          <w:rFonts w:eastAsia="Times New Roman" w:cs="Times New Roman"/>
        </w:rPr>
        <w:br w:type="page"/>
      </w:r>
    </w:p>
    <w:p w14:paraId="782E80CB" w14:textId="77777777" w:rsidR="007C4D68" w:rsidRDefault="007C4D68">
      <w:r>
        <w:rPr>
          <w:noProof/>
        </w:rPr>
        <w:lastRenderedPageBreak/>
        <w:drawing>
          <wp:inline distT="0" distB="0" distL="0" distR="0" wp14:anchorId="3AAB2D00" wp14:editId="53EA1D55">
            <wp:extent cx="5486400" cy="76768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7676866"/>
                    </a:xfrm>
                    <a:prstGeom prst="rect">
                      <a:avLst/>
                    </a:prstGeom>
                    <a:noFill/>
                    <a:ln>
                      <a:noFill/>
                    </a:ln>
                  </pic:spPr>
                </pic:pic>
              </a:graphicData>
            </a:graphic>
          </wp:inline>
        </w:drawing>
      </w:r>
    </w:p>
    <w:p w14:paraId="2B49B1D5" w14:textId="5346E093" w:rsidR="003E32AC" w:rsidRDefault="000A5A4C" w:rsidP="003E32AC">
      <w:pPr>
        <w:rPr>
          <w:i/>
        </w:rPr>
      </w:pPr>
      <w:r>
        <w:rPr>
          <w:i/>
        </w:rPr>
        <w:t>Map by Kate Darby from US</w:t>
      </w:r>
      <w:r w:rsidR="003E32AC">
        <w:rPr>
          <w:i/>
        </w:rPr>
        <w:t xml:space="preserve"> National Atlas Data </w:t>
      </w:r>
    </w:p>
    <w:p w14:paraId="2B0FEB80" w14:textId="77777777" w:rsidR="007C4D68" w:rsidRDefault="007C4D68">
      <w:r>
        <w:br w:type="page"/>
      </w:r>
    </w:p>
    <w:p w14:paraId="1CCA6757" w14:textId="77777777" w:rsidR="007C4D68" w:rsidRDefault="007C4D68"/>
    <w:p w14:paraId="1BEB4648" w14:textId="77777777" w:rsidR="007C4D68" w:rsidRDefault="007C4D68">
      <w:r>
        <w:rPr>
          <w:noProof/>
        </w:rPr>
        <w:drawing>
          <wp:inline distT="0" distB="0" distL="0" distR="0" wp14:anchorId="577438E5" wp14:editId="3F6BDF31">
            <wp:extent cx="5162550" cy="3086100"/>
            <wp:effectExtent l="0" t="0" r="1905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BF3EB2F" w14:textId="77777777" w:rsidR="007C4D68" w:rsidRDefault="007C4D68"/>
    <w:p w14:paraId="4792384D" w14:textId="77777777" w:rsidR="007C4D68" w:rsidRPr="007C4D68" w:rsidRDefault="007C4D68">
      <w:pPr>
        <w:rPr>
          <w:i/>
        </w:rPr>
      </w:pPr>
    </w:p>
    <w:p w14:paraId="4F86ADB9" w14:textId="77777777" w:rsidR="007C4D68" w:rsidRDefault="007C4D68">
      <w:pPr>
        <w:rPr>
          <w:i/>
        </w:rPr>
      </w:pPr>
      <w:r w:rsidRPr="007C4D68">
        <w:rPr>
          <w:i/>
        </w:rPr>
        <w:t>Source: USGS National Water Information System Web Interface</w:t>
      </w:r>
    </w:p>
    <w:p w14:paraId="7CC3848B" w14:textId="77777777" w:rsidR="007C4D68" w:rsidRDefault="007C4D68">
      <w:pPr>
        <w:rPr>
          <w:i/>
        </w:rPr>
      </w:pPr>
    </w:p>
    <w:p w14:paraId="73C0CFBD" w14:textId="77777777" w:rsidR="007C4D68" w:rsidRDefault="007C4D68">
      <w:pPr>
        <w:rPr>
          <w:i/>
        </w:rPr>
      </w:pPr>
      <w:r>
        <w:rPr>
          <w:i/>
        </w:rPr>
        <w:br w:type="page"/>
      </w:r>
    </w:p>
    <w:p w14:paraId="46EE809E" w14:textId="77777777" w:rsidR="007C4D68" w:rsidRDefault="007C4D68">
      <w:r>
        <w:rPr>
          <w:noProof/>
        </w:rPr>
        <w:lastRenderedPageBreak/>
        <w:drawing>
          <wp:inline distT="0" distB="0" distL="0" distR="0" wp14:anchorId="3A1F479B" wp14:editId="5D0ADE52">
            <wp:extent cx="5048250" cy="2971800"/>
            <wp:effectExtent l="0" t="0" r="3175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6C90A16" w14:textId="77777777" w:rsidR="007C4D68" w:rsidRDefault="007C4D68"/>
    <w:p w14:paraId="2994BBEB" w14:textId="77777777" w:rsidR="007C4D68" w:rsidRDefault="007C4D68"/>
    <w:p w14:paraId="49F9FC9D" w14:textId="77777777" w:rsidR="007C4D68" w:rsidRDefault="007C4D68"/>
    <w:p w14:paraId="165CEF80" w14:textId="77777777" w:rsidR="007C4D68" w:rsidRDefault="007C4D68"/>
    <w:p w14:paraId="065CBA86" w14:textId="77777777" w:rsidR="007C4D68" w:rsidRDefault="007C4D68"/>
    <w:p w14:paraId="2E6C62EC" w14:textId="77777777" w:rsidR="007C4D68" w:rsidRDefault="007C4D68"/>
    <w:p w14:paraId="0F1BD313" w14:textId="77777777" w:rsidR="007C4D68" w:rsidRDefault="007C4D68"/>
    <w:p w14:paraId="397D437D" w14:textId="77777777" w:rsidR="007C4D68" w:rsidRDefault="007C4D68"/>
    <w:p w14:paraId="1592E61C" w14:textId="77777777" w:rsidR="007C4D68" w:rsidRDefault="007C4D68">
      <w:pPr>
        <w:rPr>
          <w:i/>
        </w:rPr>
      </w:pPr>
      <w:r w:rsidRPr="007C4D68">
        <w:rPr>
          <w:i/>
        </w:rPr>
        <w:t>Source: USGS National Water Information Systems Web Interface</w:t>
      </w:r>
    </w:p>
    <w:p w14:paraId="3F926F87" w14:textId="77777777" w:rsidR="007C4D68" w:rsidRDefault="007C4D68">
      <w:pPr>
        <w:rPr>
          <w:i/>
        </w:rPr>
      </w:pPr>
    </w:p>
    <w:p w14:paraId="6FCD6016" w14:textId="77777777" w:rsidR="007C4D68" w:rsidRDefault="007C4D68">
      <w:pPr>
        <w:rPr>
          <w:i/>
        </w:rPr>
      </w:pPr>
    </w:p>
    <w:p w14:paraId="34EC2839" w14:textId="77777777" w:rsidR="007C4D68" w:rsidRDefault="007C4D68">
      <w:pPr>
        <w:rPr>
          <w:i/>
        </w:rPr>
      </w:pPr>
      <w:r>
        <w:rPr>
          <w:i/>
        </w:rPr>
        <w:br w:type="page"/>
      </w:r>
    </w:p>
    <w:p w14:paraId="62CFF2D7" w14:textId="77777777" w:rsidR="007C4D68" w:rsidRDefault="007C4D68">
      <w:pPr>
        <w:rPr>
          <w:i/>
        </w:rPr>
      </w:pPr>
    </w:p>
    <w:p w14:paraId="5EA3FDAB" w14:textId="77777777" w:rsidR="007C4D68" w:rsidRDefault="007C4D68" w:rsidP="007C4D68">
      <w:pPr>
        <w:ind w:left="-990"/>
        <w:rPr>
          <w:i/>
        </w:rPr>
      </w:pPr>
      <w:r>
        <w:rPr>
          <w:noProof/>
        </w:rPr>
        <w:drawing>
          <wp:inline distT="0" distB="0" distL="0" distR="0" wp14:anchorId="04FFE7E7" wp14:editId="5295EBA2">
            <wp:extent cx="6903720" cy="3063240"/>
            <wp:effectExtent l="0" t="0" r="30480" b="355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47619C" w14:textId="77777777" w:rsidR="007C4D68" w:rsidRDefault="007C4D68" w:rsidP="007C4D68">
      <w:pPr>
        <w:ind w:left="-990"/>
        <w:rPr>
          <w:i/>
        </w:rPr>
      </w:pPr>
    </w:p>
    <w:p w14:paraId="18876BFE" w14:textId="021F8C6C" w:rsidR="007C4D68" w:rsidRDefault="007C4D68" w:rsidP="0040043B">
      <w:pPr>
        <w:ind w:left="-990"/>
        <w:rPr>
          <w:rFonts w:ascii="Calibri" w:eastAsia="Times New Roman" w:hAnsi="Calibri" w:cs="Times New Roman"/>
          <w:color w:val="000000"/>
          <w:lang w:eastAsia="es-DO"/>
        </w:rPr>
      </w:pPr>
      <w:r>
        <w:rPr>
          <w:i/>
        </w:rPr>
        <w:t xml:space="preserve">Source: NOAA National Weather Service, </w:t>
      </w:r>
      <w:hyperlink r:id="rId9" w:history="1">
        <w:r w:rsidR="0040043B" w:rsidRPr="00D3731F">
          <w:rPr>
            <w:rStyle w:val="Hyperlink"/>
            <w:i/>
          </w:rPr>
          <w:t>https://www.weather.gov/wrh/Climate?wfo=psr</w:t>
        </w:r>
      </w:hyperlink>
      <w:r w:rsidR="0040043B">
        <w:rPr>
          <w:i/>
        </w:rPr>
        <w:t xml:space="preserve"> (local data/records &gt; monsoon statistics)</w:t>
      </w:r>
    </w:p>
    <w:p w14:paraId="1E46B6C2" w14:textId="77777777" w:rsidR="007C4D68" w:rsidRDefault="007C4D68">
      <w:pPr>
        <w:rPr>
          <w:rFonts w:ascii="Calibri" w:eastAsia="Times New Roman" w:hAnsi="Calibri" w:cs="Times New Roman"/>
          <w:color w:val="000000"/>
          <w:lang w:eastAsia="es-DO"/>
        </w:rPr>
      </w:pPr>
      <w:r>
        <w:rPr>
          <w:rFonts w:ascii="Calibri" w:eastAsia="Times New Roman" w:hAnsi="Calibri" w:cs="Times New Roman"/>
          <w:color w:val="000000"/>
          <w:lang w:eastAsia="es-DO"/>
        </w:rPr>
        <w:br w:type="page"/>
      </w:r>
    </w:p>
    <w:tbl>
      <w:tblPr>
        <w:tblStyle w:val="ColorfulGrid-Accent5"/>
        <w:tblpPr w:leftFromText="141" w:rightFromText="141" w:vertAnchor="page" w:horzAnchor="page" w:tblpX="1549" w:tblpY="1801"/>
        <w:tblW w:w="9648" w:type="dxa"/>
        <w:tblLook w:val="04A0" w:firstRow="1" w:lastRow="0" w:firstColumn="1" w:lastColumn="0" w:noHBand="0" w:noVBand="1"/>
      </w:tblPr>
      <w:tblGrid>
        <w:gridCol w:w="3632"/>
        <w:gridCol w:w="6016"/>
      </w:tblGrid>
      <w:tr w:rsidR="007C4D68" w:rsidRPr="001E7D6E" w14:paraId="653B0D0B" w14:textId="77777777" w:rsidTr="007C4D68">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3632" w:type="dxa"/>
          </w:tcPr>
          <w:p w14:paraId="19DDEEE5" w14:textId="77777777" w:rsidR="007C4D68" w:rsidRPr="001E7D6E" w:rsidRDefault="007C4D68" w:rsidP="007C4D68">
            <w:pPr>
              <w:jc w:val="center"/>
              <w:rPr>
                <w:color w:val="auto"/>
                <w:sz w:val="24"/>
                <w:szCs w:val="24"/>
              </w:rPr>
            </w:pPr>
            <w:r w:rsidRPr="001E7D6E">
              <w:rPr>
                <w:color w:val="auto"/>
                <w:sz w:val="24"/>
                <w:szCs w:val="24"/>
              </w:rPr>
              <w:lastRenderedPageBreak/>
              <w:t xml:space="preserve">                                                                           Political Attitudes</w:t>
            </w:r>
          </w:p>
        </w:tc>
        <w:tc>
          <w:tcPr>
            <w:tcW w:w="6016" w:type="dxa"/>
          </w:tcPr>
          <w:p w14:paraId="7222866E" w14:textId="77777777" w:rsidR="007C4D68" w:rsidRPr="001E7D6E" w:rsidRDefault="007C4D68" w:rsidP="007C4D68">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1E7D6E">
              <w:rPr>
                <w:color w:val="auto"/>
                <w:sz w:val="24"/>
                <w:szCs w:val="24"/>
              </w:rPr>
              <w:t>Respondents Who Believe In</w:t>
            </w:r>
          </w:p>
          <w:p w14:paraId="318C0F7D" w14:textId="7F782819" w:rsidR="007C4D68" w:rsidRPr="001E7D6E" w:rsidRDefault="000A5A4C" w:rsidP="007C4D68">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Pr>
                <w:color w:val="auto"/>
                <w:sz w:val="24"/>
                <w:szCs w:val="24"/>
              </w:rPr>
              <w:t xml:space="preserve">Human Rights To Use </w:t>
            </w:r>
            <w:r w:rsidR="007C4D68" w:rsidRPr="001E7D6E">
              <w:rPr>
                <w:color w:val="auto"/>
                <w:sz w:val="24"/>
                <w:szCs w:val="24"/>
              </w:rPr>
              <w:t>All Needed Water</w:t>
            </w:r>
          </w:p>
        </w:tc>
      </w:tr>
      <w:tr w:rsidR="007C4D68" w:rsidRPr="001E7D6E" w14:paraId="0E9A71D5" w14:textId="77777777" w:rsidTr="007C4D68">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632" w:type="dxa"/>
          </w:tcPr>
          <w:p w14:paraId="257048A6" w14:textId="77777777" w:rsidR="007C4D68" w:rsidRPr="001E7D6E" w:rsidRDefault="007C4D68" w:rsidP="007C4D68">
            <w:pPr>
              <w:jc w:val="center"/>
              <w:rPr>
                <w:b/>
                <w:color w:val="auto"/>
                <w:sz w:val="24"/>
                <w:szCs w:val="24"/>
              </w:rPr>
            </w:pPr>
            <w:r w:rsidRPr="001E7D6E">
              <w:rPr>
                <w:b/>
                <w:color w:val="auto"/>
                <w:sz w:val="24"/>
                <w:szCs w:val="24"/>
              </w:rPr>
              <w:t>Liberals</w:t>
            </w:r>
          </w:p>
        </w:tc>
        <w:tc>
          <w:tcPr>
            <w:tcW w:w="6016" w:type="dxa"/>
          </w:tcPr>
          <w:p w14:paraId="5F9FC020" w14:textId="77777777" w:rsidR="007C4D68" w:rsidRPr="001E7D6E" w:rsidRDefault="007C4D68" w:rsidP="007C4D68">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1E7D6E">
              <w:rPr>
                <w:color w:val="auto"/>
                <w:sz w:val="24"/>
                <w:szCs w:val="24"/>
              </w:rPr>
              <w:t>14.9%</w:t>
            </w:r>
          </w:p>
        </w:tc>
      </w:tr>
      <w:tr w:rsidR="007C4D68" w:rsidRPr="001E7D6E" w14:paraId="13BAE062" w14:textId="77777777" w:rsidTr="007C4D68">
        <w:trPr>
          <w:trHeight w:val="501"/>
        </w:trPr>
        <w:tc>
          <w:tcPr>
            <w:cnfStyle w:val="001000000000" w:firstRow="0" w:lastRow="0" w:firstColumn="1" w:lastColumn="0" w:oddVBand="0" w:evenVBand="0" w:oddHBand="0" w:evenHBand="0" w:firstRowFirstColumn="0" w:firstRowLastColumn="0" w:lastRowFirstColumn="0" w:lastRowLastColumn="0"/>
            <w:tcW w:w="3632" w:type="dxa"/>
          </w:tcPr>
          <w:p w14:paraId="560DA290" w14:textId="77777777" w:rsidR="007C4D68" w:rsidRPr="001E7D6E" w:rsidRDefault="007C4D68" w:rsidP="007C4D68">
            <w:pPr>
              <w:jc w:val="center"/>
              <w:rPr>
                <w:b/>
                <w:color w:val="auto"/>
                <w:sz w:val="24"/>
                <w:szCs w:val="24"/>
              </w:rPr>
            </w:pPr>
            <w:r w:rsidRPr="001E7D6E">
              <w:rPr>
                <w:b/>
                <w:color w:val="auto"/>
                <w:sz w:val="24"/>
                <w:szCs w:val="24"/>
              </w:rPr>
              <w:t>Moderates</w:t>
            </w:r>
          </w:p>
        </w:tc>
        <w:tc>
          <w:tcPr>
            <w:tcW w:w="6016" w:type="dxa"/>
          </w:tcPr>
          <w:p w14:paraId="64225244" w14:textId="77777777" w:rsidR="007C4D68" w:rsidRPr="001E7D6E" w:rsidRDefault="007C4D68" w:rsidP="007C4D68">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1E7D6E">
              <w:rPr>
                <w:color w:val="auto"/>
                <w:sz w:val="24"/>
                <w:szCs w:val="24"/>
              </w:rPr>
              <w:t>21.8%</w:t>
            </w:r>
          </w:p>
        </w:tc>
      </w:tr>
      <w:tr w:rsidR="007C4D68" w:rsidRPr="001E7D6E" w14:paraId="6A8A7A5A" w14:textId="77777777" w:rsidTr="007C4D68">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632" w:type="dxa"/>
          </w:tcPr>
          <w:p w14:paraId="033ED5BD" w14:textId="77777777" w:rsidR="007C4D68" w:rsidRPr="001E7D6E" w:rsidRDefault="007C4D68" w:rsidP="007C4D68">
            <w:pPr>
              <w:jc w:val="center"/>
              <w:rPr>
                <w:b/>
                <w:color w:val="auto"/>
                <w:sz w:val="24"/>
                <w:szCs w:val="24"/>
              </w:rPr>
            </w:pPr>
            <w:r w:rsidRPr="001E7D6E">
              <w:rPr>
                <w:b/>
                <w:color w:val="auto"/>
                <w:sz w:val="24"/>
                <w:szCs w:val="24"/>
              </w:rPr>
              <w:t>Conservatives</w:t>
            </w:r>
          </w:p>
        </w:tc>
        <w:tc>
          <w:tcPr>
            <w:tcW w:w="6016" w:type="dxa"/>
          </w:tcPr>
          <w:p w14:paraId="1C9A67BD" w14:textId="77777777" w:rsidR="007C4D68" w:rsidRPr="001E7D6E" w:rsidRDefault="007C4D68" w:rsidP="007C4D68">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1E7D6E">
              <w:rPr>
                <w:color w:val="auto"/>
                <w:sz w:val="24"/>
                <w:szCs w:val="24"/>
              </w:rPr>
              <w:t>28.3%</w:t>
            </w:r>
          </w:p>
        </w:tc>
      </w:tr>
    </w:tbl>
    <w:p w14:paraId="5D84C47B" w14:textId="77777777" w:rsidR="007C4D68" w:rsidRDefault="007C4D68">
      <w:pPr>
        <w:rPr>
          <w:rFonts w:ascii="Calibri" w:eastAsia="Times New Roman" w:hAnsi="Calibri" w:cs="Times New Roman"/>
          <w:color w:val="000000"/>
          <w:lang w:eastAsia="es-DO"/>
        </w:rPr>
      </w:pPr>
    </w:p>
    <w:p w14:paraId="49729134" w14:textId="77777777" w:rsidR="007C4D68" w:rsidRDefault="007C4D68">
      <w:pPr>
        <w:rPr>
          <w:rFonts w:ascii="Calibri" w:eastAsia="Times New Roman" w:hAnsi="Calibri" w:cs="Times New Roman"/>
          <w:color w:val="000000"/>
          <w:lang w:eastAsia="es-DO"/>
        </w:rPr>
      </w:pPr>
    </w:p>
    <w:p w14:paraId="4B394EA8" w14:textId="4A901B80" w:rsidR="007C4D68" w:rsidRDefault="007C4D68" w:rsidP="007C4D68">
      <w:pPr>
        <w:ind w:left="-990"/>
        <w:rPr>
          <w:i/>
        </w:rPr>
      </w:pPr>
      <w:r>
        <w:rPr>
          <w:i/>
        </w:rPr>
        <w:t xml:space="preserve">Source: </w:t>
      </w:r>
      <w:r w:rsidR="00127CBB">
        <w:rPr>
          <w:i/>
        </w:rPr>
        <w:t xml:space="preserve">Data Modified from </w:t>
      </w:r>
      <w:r>
        <w:rPr>
          <w:i/>
        </w:rPr>
        <w:t>2006 Community Highlights: Phoenix Area Social Survey: Community and Environment in a Desert Metropolis. Central Arizona-Phoenix Long Term Ecological Research Project, Contribution No. 4, December 2007, Global Institute of Sustainability, Arizona State University</w:t>
      </w:r>
    </w:p>
    <w:p w14:paraId="708B69E8" w14:textId="77777777" w:rsidR="007C4D68" w:rsidRDefault="007C4D68">
      <w:pPr>
        <w:rPr>
          <w:i/>
        </w:rPr>
      </w:pPr>
      <w:r>
        <w:rPr>
          <w:i/>
        </w:rPr>
        <w:br w:type="page"/>
      </w:r>
    </w:p>
    <w:p w14:paraId="2F6AD22F" w14:textId="3E56102A" w:rsidR="007C4D68" w:rsidRPr="008C7F1A" w:rsidRDefault="008C7F1A">
      <w:r w:rsidRPr="008C7F1A">
        <w:lastRenderedPageBreak/>
        <w:t xml:space="preserve">Video Clip from </w:t>
      </w:r>
      <w:r w:rsidR="007C4D68" w:rsidRPr="008C7F1A">
        <w:t>Deserted</w:t>
      </w:r>
      <w:r w:rsidRPr="008C7F1A">
        <w:t>: Forgetting Nature, Humanity and History in the Salt and Gila River Beds</w:t>
      </w:r>
      <w:r w:rsidR="007C4D68" w:rsidRPr="008C7F1A">
        <w:t xml:space="preserve"> </w:t>
      </w:r>
    </w:p>
    <w:p w14:paraId="362FEA07" w14:textId="0EBFD4C5" w:rsidR="008C7F1A" w:rsidRPr="008C7F1A" w:rsidRDefault="008C7F1A">
      <w:r w:rsidRPr="008C7F1A">
        <w:t>Created for the Ecological Society of America Millen</w:t>
      </w:r>
      <w:r w:rsidR="000A5A4C">
        <w:t>n</w:t>
      </w:r>
      <w:r w:rsidRPr="008C7F1A">
        <w:t>ium Conference</w:t>
      </w:r>
    </w:p>
    <w:p w14:paraId="0067CC62" w14:textId="77777777" w:rsidR="008C7F1A" w:rsidRPr="008C7F1A" w:rsidRDefault="008C7F1A"/>
    <w:p w14:paraId="300E13F1" w14:textId="22DC3B5B" w:rsidR="007C4D68" w:rsidRPr="008C7F1A" w:rsidRDefault="008C7F1A">
      <w:r w:rsidRPr="008C7F1A">
        <w:t xml:space="preserve">Watch through 2:37 at </w:t>
      </w:r>
      <w:hyperlink r:id="rId10" w:history="1">
        <w:r w:rsidR="0040043B" w:rsidRPr="00D3731F">
          <w:rPr>
            <w:rStyle w:val="Hyperlink"/>
            <w:i/>
          </w:rPr>
          <w:t>http://www.youtube.com/watch?v=k_3Eg9rUpUs</w:t>
        </w:r>
      </w:hyperlink>
      <w:r w:rsidR="0040043B">
        <w:rPr>
          <w:i/>
        </w:rPr>
        <w:t xml:space="preserve"> </w:t>
      </w:r>
    </w:p>
    <w:p w14:paraId="271FC73D" w14:textId="77777777" w:rsidR="007C4D68" w:rsidRDefault="007C4D68" w:rsidP="007C4D68">
      <w:pPr>
        <w:ind w:left="-990"/>
        <w:rPr>
          <w:i/>
        </w:rPr>
      </w:pPr>
    </w:p>
    <w:p w14:paraId="092B3BF7" w14:textId="77777777" w:rsidR="00FA3D67" w:rsidRDefault="00FA3D67" w:rsidP="007C4D68">
      <w:pPr>
        <w:ind w:left="-990"/>
        <w:rPr>
          <w:i/>
        </w:rPr>
      </w:pPr>
    </w:p>
    <w:p w14:paraId="5AA82D2C" w14:textId="77777777" w:rsidR="00FA3D67" w:rsidRDefault="00FA3D67">
      <w:pPr>
        <w:rPr>
          <w:i/>
        </w:rPr>
      </w:pPr>
      <w:r>
        <w:rPr>
          <w:i/>
        </w:rPr>
        <w:br w:type="page"/>
      </w:r>
    </w:p>
    <w:p w14:paraId="00D9E4E7" w14:textId="77777777" w:rsidR="00FA3D67" w:rsidRDefault="00FA3D67" w:rsidP="007C4D68">
      <w:pPr>
        <w:ind w:left="-990"/>
        <w:rPr>
          <w:i/>
        </w:rPr>
      </w:pPr>
      <w:r>
        <w:rPr>
          <w:rFonts w:eastAsia="Times New Roman" w:cs="Times New Roman"/>
          <w:noProof/>
        </w:rPr>
        <w:lastRenderedPageBreak/>
        <w:drawing>
          <wp:inline distT="0" distB="0" distL="0" distR="0" wp14:anchorId="35C3D51D" wp14:editId="34D385AA">
            <wp:extent cx="5486400" cy="4177462"/>
            <wp:effectExtent l="0" t="0" r="0" b="0"/>
            <wp:docPr id="4" name="photoIn" descr="http://phoenixtransect.org/sitefiles/images/full/956140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In" descr="http://phoenixtransect.org/sitefiles/images/full/95614029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177462"/>
                    </a:xfrm>
                    <a:prstGeom prst="rect">
                      <a:avLst/>
                    </a:prstGeom>
                    <a:noFill/>
                    <a:ln>
                      <a:noFill/>
                    </a:ln>
                  </pic:spPr>
                </pic:pic>
              </a:graphicData>
            </a:graphic>
          </wp:inline>
        </w:drawing>
      </w:r>
    </w:p>
    <w:p w14:paraId="422F2552" w14:textId="77777777" w:rsidR="00FA3D67" w:rsidRDefault="00FA3D67" w:rsidP="007C4D68">
      <w:pPr>
        <w:ind w:left="-990"/>
        <w:rPr>
          <w:i/>
        </w:rPr>
      </w:pPr>
    </w:p>
    <w:p w14:paraId="25B7857F" w14:textId="77777777" w:rsidR="00FA3D67" w:rsidRPr="00FA3D67" w:rsidRDefault="00FA3D67" w:rsidP="00FA3D67">
      <w:pPr>
        <w:rPr>
          <w:rFonts w:ascii="Times" w:eastAsia="Times New Roman" w:hAnsi="Times" w:cs="Times New Roman"/>
          <w:sz w:val="20"/>
          <w:szCs w:val="20"/>
        </w:rPr>
      </w:pPr>
    </w:p>
    <w:p w14:paraId="0C891BC0" w14:textId="2049E629" w:rsidR="00FA3D67" w:rsidRPr="00E17596" w:rsidRDefault="00FA3D67" w:rsidP="00E17596">
      <w:pPr>
        <w:rPr>
          <w:rFonts w:ascii="Times" w:eastAsia="Times New Roman" w:hAnsi="Times" w:cs="Times New Roman"/>
        </w:rPr>
      </w:pPr>
      <w:r w:rsidRPr="00FA3D67">
        <w:rPr>
          <w:rFonts w:ascii="Times" w:eastAsia="Times New Roman" w:hAnsi="Times" w:cs="Times New Roman"/>
          <w:sz w:val="20"/>
          <w:szCs w:val="20"/>
        </w:rPr>
        <w:br/>
      </w:r>
      <w:r w:rsidRPr="00E17596">
        <w:rPr>
          <w:rFonts w:ascii="Times" w:eastAsia="Times New Roman" w:hAnsi="Times" w:cs="Times New Roman"/>
          <w:i/>
          <w:iCs/>
        </w:rPr>
        <w:t xml:space="preserve">Modern petroglyph, top of Hayden Butte </w:t>
      </w:r>
      <w:r w:rsidR="000A5A4C">
        <w:rPr>
          <w:rFonts w:ascii="Times" w:eastAsia="Times New Roman" w:hAnsi="Times" w:cs="Times New Roman"/>
          <w:i/>
          <w:iCs/>
        </w:rPr>
        <w:t>2</w:t>
      </w:r>
      <w:r w:rsidRPr="00E17596">
        <w:rPr>
          <w:rFonts w:ascii="Times" w:eastAsia="Times New Roman" w:hAnsi="Times" w:cs="Times New Roman"/>
        </w:rPr>
        <w:t>, March 2008</w:t>
      </w:r>
      <w:r w:rsidRPr="00E17596">
        <w:rPr>
          <w:rFonts w:ascii="Times" w:eastAsia="Times New Roman" w:hAnsi="Times" w:cs="Times New Roman"/>
        </w:rPr>
        <w:br/>
        <w:t xml:space="preserve">Mark </w:t>
      </w:r>
      <w:proofErr w:type="spellStart"/>
      <w:r w:rsidRPr="00E17596">
        <w:rPr>
          <w:rFonts w:ascii="Times" w:eastAsia="Times New Roman" w:hAnsi="Times" w:cs="Times New Roman"/>
        </w:rPr>
        <w:t>Klett</w:t>
      </w:r>
      <w:proofErr w:type="spellEnd"/>
    </w:p>
    <w:p w14:paraId="137789F8" w14:textId="77777777" w:rsidR="00E17596" w:rsidRDefault="00E17596" w:rsidP="007C4D68">
      <w:pPr>
        <w:ind w:left="-990"/>
        <w:rPr>
          <w:i/>
        </w:rPr>
      </w:pPr>
    </w:p>
    <w:p w14:paraId="02FA5A96" w14:textId="2B5B6E76" w:rsidR="00FA3D67" w:rsidRDefault="00E17596" w:rsidP="007C4D68">
      <w:pPr>
        <w:ind w:left="-990"/>
        <w:rPr>
          <w:i/>
        </w:rPr>
      </w:pPr>
      <w:r w:rsidRPr="00E17596">
        <w:t>This photograph is part of the Phoenix Transect Project, which uses photography to document changes in the Phoenix, A</w:t>
      </w:r>
      <w:r w:rsidR="000A5A4C">
        <w:t>rizona,</w:t>
      </w:r>
      <w:r w:rsidRPr="00E17596">
        <w:t xml:space="preserve"> metropolitan </w:t>
      </w:r>
      <w:proofErr w:type="gramStart"/>
      <w:r w:rsidRPr="00E17596">
        <w:t>region</w:t>
      </w:r>
      <w:r w:rsidR="0040043B">
        <w:t xml:space="preserve"> </w:t>
      </w:r>
      <w:r w:rsidR="0040043B" w:rsidRPr="00E17596">
        <w:t xml:space="preserve"> (</w:t>
      </w:r>
      <w:proofErr w:type="gramEnd"/>
      <w:r w:rsidR="0040043B">
        <w:t>website no longer available</w:t>
      </w:r>
      <w:r w:rsidR="0040043B" w:rsidRPr="00E17596">
        <w:t>)</w:t>
      </w:r>
      <w:r>
        <w:rPr>
          <w:i/>
        </w:rPr>
        <w:t xml:space="preserve">. </w:t>
      </w:r>
    </w:p>
    <w:p w14:paraId="5971EB0E" w14:textId="77777777" w:rsidR="00060700" w:rsidRDefault="00060700">
      <w:pPr>
        <w:rPr>
          <w:i/>
        </w:rPr>
      </w:pPr>
      <w:r>
        <w:rPr>
          <w:i/>
        </w:rPr>
        <w:br w:type="page"/>
      </w:r>
    </w:p>
    <w:p w14:paraId="02536BA2" w14:textId="77777777" w:rsidR="00060700" w:rsidRPr="005E09AE" w:rsidRDefault="00EF13B7" w:rsidP="007C4D68">
      <w:pPr>
        <w:ind w:left="-990"/>
        <w:rPr>
          <w:b/>
        </w:rPr>
      </w:pPr>
      <w:r w:rsidRPr="005E09AE">
        <w:rPr>
          <w:b/>
        </w:rPr>
        <w:lastRenderedPageBreak/>
        <w:t>Literary Quotations</w:t>
      </w:r>
    </w:p>
    <w:p w14:paraId="5554CD6A" w14:textId="77777777" w:rsidR="00EF13B7" w:rsidRPr="00EF13B7" w:rsidRDefault="00EF13B7" w:rsidP="007C4D68">
      <w:pPr>
        <w:ind w:left="-990"/>
      </w:pPr>
    </w:p>
    <w:p w14:paraId="315931C1" w14:textId="1831F047" w:rsidR="00EF13B7" w:rsidRDefault="00EF13B7" w:rsidP="007C4D68">
      <w:pPr>
        <w:ind w:left="-990"/>
        <w:rPr>
          <w:rFonts w:ascii="Georgia" w:eastAsia="Times New Roman" w:hAnsi="Georgia" w:cs="Times New Roman"/>
          <w:i/>
          <w:iCs/>
        </w:rPr>
      </w:pPr>
      <w:r>
        <w:rPr>
          <w:rFonts w:ascii="Georgia" w:eastAsia="Times New Roman" w:hAnsi="Georgia" w:cs="Times New Roman"/>
        </w:rPr>
        <w:t xml:space="preserve">But there is still too much to see and marvel at, the world very much alive in the bright light and wind, exultant with the fever of spring, the delight of morning. Strolling on, it seems to me that the strangeness and wonder of existence are emphasized here, in the desert, by the comparative sparsity of the flora and fauna: life not crowded upon life as in other places but scattered abroad in spareness simplicity, with a generous gift of space for each herb and bush and tree, each stem of grass, so that the living organism stands out bold and brave and vivid against the lifeless sand and barren rock. </w:t>
      </w:r>
      <w:r w:rsidR="000A5A4C">
        <w:rPr>
          <w:rFonts w:ascii="Georgia" w:eastAsia="Times New Roman" w:hAnsi="Georgia" w:cs="Times New Roman"/>
        </w:rPr>
        <w:t>—</w:t>
      </w:r>
      <w:r>
        <w:rPr>
          <w:rFonts w:ascii="Georgia" w:eastAsia="Times New Roman" w:hAnsi="Georgia" w:cs="Times New Roman"/>
        </w:rPr>
        <w:t xml:space="preserve">Edward Abbey, </w:t>
      </w:r>
      <w:r>
        <w:rPr>
          <w:rFonts w:ascii="Georgia" w:eastAsia="Times New Roman" w:hAnsi="Georgia" w:cs="Times New Roman"/>
          <w:i/>
          <w:iCs/>
        </w:rPr>
        <w:t>Desert Solitaire: A Season in the Wilderness</w:t>
      </w:r>
    </w:p>
    <w:p w14:paraId="45D68637" w14:textId="77777777" w:rsidR="00EF13B7" w:rsidRDefault="00EF13B7" w:rsidP="007C4D68">
      <w:pPr>
        <w:ind w:left="-990"/>
        <w:rPr>
          <w:rFonts w:ascii="Georgia" w:eastAsia="Times New Roman" w:hAnsi="Georgia" w:cs="Times New Roman"/>
          <w:i/>
          <w:iCs/>
        </w:rPr>
      </w:pPr>
    </w:p>
    <w:p w14:paraId="51E7C24C" w14:textId="5B1CE2FB" w:rsidR="00EF13B7" w:rsidRDefault="00EF13B7" w:rsidP="007C4D68">
      <w:pPr>
        <w:ind w:left="-990"/>
        <w:rPr>
          <w:rFonts w:ascii="Georgia" w:eastAsia="Times New Roman" w:hAnsi="Georgia" w:cs="Times New Roman"/>
          <w:i/>
          <w:iCs/>
        </w:rPr>
      </w:pPr>
      <w:r>
        <w:rPr>
          <w:rFonts w:ascii="Georgia" w:eastAsia="Times New Roman" w:hAnsi="Georgia" w:cs="Times New Roman"/>
        </w:rPr>
        <w:t>Water, water, water</w:t>
      </w:r>
      <w:proofErr w:type="gramStart"/>
      <w:r>
        <w:rPr>
          <w:rFonts w:ascii="Georgia" w:eastAsia="Times New Roman" w:hAnsi="Georgia" w:cs="Times New Roman"/>
        </w:rPr>
        <w:t>.</w:t>
      </w:r>
      <w:r w:rsidR="000A5A4C">
        <w:rPr>
          <w:rFonts w:ascii="Georgia" w:eastAsia="Times New Roman" w:hAnsi="Georgia" w:cs="Times New Roman"/>
        </w:rPr>
        <w:t xml:space="preserve"> . . .</w:t>
      </w:r>
      <w:proofErr w:type="gramEnd"/>
      <w:r w:rsidR="000A5A4C">
        <w:rPr>
          <w:rFonts w:ascii="Georgia" w:eastAsia="Times New Roman" w:hAnsi="Georgia" w:cs="Times New Roman"/>
        </w:rPr>
        <w:t xml:space="preserve"> </w:t>
      </w:r>
      <w:r>
        <w:rPr>
          <w:rFonts w:ascii="Georgia" w:eastAsia="Times New Roman" w:hAnsi="Georgia" w:cs="Times New Roman"/>
        </w:rPr>
        <w:t xml:space="preserve">There is no shortage of water in the desert but exactly the right amount, a perfect ratio of water to rock, of water to sand, insuring that wide, free, open, generous spacing among plants and animals, homes and towns and cities, which makes the arid West so different from any other part of the nation. There is no lack of water here, unless you try to establish a city where no city should be. </w:t>
      </w:r>
      <w:r w:rsidR="000A5A4C">
        <w:rPr>
          <w:rFonts w:ascii="Georgia" w:eastAsia="Times New Roman" w:hAnsi="Georgia" w:cs="Times New Roman"/>
        </w:rPr>
        <w:t>—</w:t>
      </w:r>
      <w:r>
        <w:rPr>
          <w:rFonts w:ascii="Georgia" w:eastAsia="Times New Roman" w:hAnsi="Georgia" w:cs="Times New Roman"/>
        </w:rPr>
        <w:t xml:space="preserve">Edward Abbey, </w:t>
      </w:r>
      <w:r>
        <w:rPr>
          <w:rFonts w:ascii="Georgia" w:eastAsia="Times New Roman" w:hAnsi="Georgia" w:cs="Times New Roman"/>
          <w:i/>
          <w:iCs/>
        </w:rPr>
        <w:t>Desert Solitaire</w:t>
      </w:r>
    </w:p>
    <w:p w14:paraId="4315C10A" w14:textId="77777777" w:rsidR="00EF13B7" w:rsidRDefault="00EF13B7" w:rsidP="007C4D68">
      <w:pPr>
        <w:ind w:left="-990"/>
        <w:rPr>
          <w:rFonts w:ascii="Georgia" w:eastAsia="Times New Roman" w:hAnsi="Georgia" w:cs="Times New Roman"/>
          <w:i/>
          <w:iCs/>
        </w:rPr>
      </w:pPr>
    </w:p>
    <w:p w14:paraId="349B77E6" w14:textId="2FDC91FA" w:rsidR="00EF13B7" w:rsidRPr="000A5A4C" w:rsidRDefault="00EF13B7" w:rsidP="007C4D68">
      <w:pPr>
        <w:ind w:left="-990"/>
        <w:rPr>
          <w:rFonts w:ascii="Georgia" w:eastAsia="Times New Roman" w:hAnsi="Georgia" w:cs="Times New Roman"/>
        </w:rPr>
      </w:pPr>
      <w:r w:rsidRPr="000A5A4C">
        <w:rPr>
          <w:rFonts w:ascii="Georgia" w:eastAsia="Times New Roman" w:hAnsi="Georgia" w:cs="Times New Roman"/>
        </w:rPr>
        <w:t xml:space="preserve">I’d forgotten how enlivening it could feel, seeing clearly and far. Aridity frees light. It also unleashes grandeur. The earth here wasn’t cloaked in forest, nor draped in green. Green was pastoral, peaceful, mild. Desert beauty was “sublime” in the way that the romantic poets had </w:t>
      </w:r>
      <w:r w:rsidR="000A5A4C">
        <w:rPr>
          <w:rFonts w:ascii="Georgia" w:eastAsia="Times New Roman" w:hAnsi="Georgia" w:cs="Times New Roman"/>
        </w:rPr>
        <w:t>used the word—</w:t>
      </w:r>
      <w:r w:rsidRPr="000A5A4C">
        <w:rPr>
          <w:rFonts w:ascii="Georgia" w:eastAsia="Times New Roman" w:hAnsi="Georgia" w:cs="Times New Roman"/>
        </w:rPr>
        <w:t>not peaceful dales but rugged mountain faces, not reassuring but daunting nature, the earth’s skin and haunches, its spines and angles arching</w:t>
      </w:r>
      <w:r w:rsidR="000A5A4C">
        <w:rPr>
          <w:rFonts w:ascii="Georgia" w:eastAsia="Times New Roman" w:hAnsi="Georgia" w:cs="Times New Roman"/>
        </w:rPr>
        <w:t xml:space="preserve"> prehistorically in sunlight. –Julene B</w:t>
      </w:r>
      <w:r w:rsidRPr="000A5A4C">
        <w:rPr>
          <w:rFonts w:ascii="Georgia" w:eastAsia="Times New Roman" w:hAnsi="Georgia" w:cs="Times New Roman"/>
        </w:rPr>
        <w:t xml:space="preserve">air, </w:t>
      </w:r>
      <w:r w:rsidRPr="000A5A4C">
        <w:rPr>
          <w:rFonts w:ascii="Georgia" w:eastAsia="Times New Roman" w:hAnsi="Georgia" w:cs="Times New Roman"/>
          <w:i/>
        </w:rPr>
        <w:t>The Ogallala Road: A Memoir of Love and Reckoning</w:t>
      </w:r>
    </w:p>
    <w:p w14:paraId="4B536F2C" w14:textId="77777777" w:rsidR="00EF13B7" w:rsidRPr="005E09AE" w:rsidRDefault="00EF13B7" w:rsidP="007C4D68">
      <w:pPr>
        <w:ind w:left="-990"/>
        <w:rPr>
          <w:rFonts w:eastAsia="Times New Roman" w:cs="Times New Roman"/>
        </w:rPr>
      </w:pPr>
    </w:p>
    <w:p w14:paraId="5ADCC2CD" w14:textId="59784F8F" w:rsidR="005E09AE" w:rsidRPr="000A5A4C" w:rsidRDefault="00EF13B7" w:rsidP="005E09AE">
      <w:pPr>
        <w:ind w:left="-990"/>
        <w:rPr>
          <w:rFonts w:ascii="Georgia" w:eastAsia="Times New Roman" w:hAnsi="Georgia" w:cs="Times New Roman"/>
        </w:rPr>
      </w:pPr>
      <w:r w:rsidRPr="000A5A4C">
        <w:rPr>
          <w:rFonts w:ascii="Georgia" w:eastAsia="Times New Roman" w:hAnsi="Georgia" w:cs="Times New Roman"/>
        </w:rPr>
        <w:t>What makes the desert beautiful is t</w:t>
      </w:r>
      <w:r w:rsidR="000A5A4C">
        <w:rPr>
          <w:rFonts w:ascii="Georgia" w:eastAsia="Times New Roman" w:hAnsi="Georgia" w:cs="Times New Roman"/>
        </w:rPr>
        <w:t>hat somewhere it hides a well –</w:t>
      </w:r>
      <w:r w:rsidRPr="000A5A4C">
        <w:rPr>
          <w:rFonts w:ascii="Georgia" w:eastAsia="Times New Roman" w:hAnsi="Georgia" w:cs="Times New Roman"/>
        </w:rPr>
        <w:t>Antoine De Saint-</w:t>
      </w:r>
      <w:proofErr w:type="spellStart"/>
      <w:r w:rsidRPr="000A5A4C">
        <w:rPr>
          <w:rFonts w:ascii="Georgia" w:eastAsia="Times New Roman" w:hAnsi="Georgia" w:cs="Times New Roman"/>
        </w:rPr>
        <w:t>Ex</w:t>
      </w:r>
      <w:r w:rsidR="000A5A4C">
        <w:rPr>
          <w:rFonts w:ascii="Georgia" w:eastAsia="Times New Roman" w:hAnsi="Georgia" w:cs="Times New Roman"/>
        </w:rPr>
        <w:t>u</w:t>
      </w:r>
      <w:r w:rsidRPr="000A5A4C">
        <w:rPr>
          <w:rFonts w:ascii="Georgia" w:eastAsia="Times New Roman" w:hAnsi="Georgia" w:cs="Times New Roman"/>
        </w:rPr>
        <w:t>p</w:t>
      </w:r>
      <w:r w:rsidR="000A5A4C">
        <w:rPr>
          <w:rFonts w:ascii="Georgia" w:eastAsia="Times New Roman" w:hAnsi="Georgia" w:cs="Times New Roman"/>
        </w:rPr>
        <w:t>é</w:t>
      </w:r>
      <w:r w:rsidRPr="000A5A4C">
        <w:rPr>
          <w:rFonts w:ascii="Georgia" w:eastAsia="Times New Roman" w:hAnsi="Georgia" w:cs="Times New Roman"/>
        </w:rPr>
        <w:t>ry</w:t>
      </w:r>
      <w:proofErr w:type="spellEnd"/>
      <w:r w:rsidRPr="000A5A4C">
        <w:rPr>
          <w:rFonts w:ascii="Georgia" w:eastAsia="Times New Roman" w:hAnsi="Georgia" w:cs="Times New Roman"/>
        </w:rPr>
        <w:t xml:space="preserve">, </w:t>
      </w:r>
      <w:r w:rsidRPr="000A5A4C">
        <w:rPr>
          <w:rFonts w:ascii="Georgia" w:eastAsia="Times New Roman" w:hAnsi="Georgia" w:cs="Times New Roman"/>
          <w:i/>
        </w:rPr>
        <w:t>The Little Prince</w:t>
      </w:r>
      <w:r w:rsidRPr="000A5A4C">
        <w:rPr>
          <w:rFonts w:ascii="Georgia" w:eastAsia="Times New Roman" w:hAnsi="Georgia" w:cs="Times New Roman"/>
        </w:rPr>
        <w:t>.</w:t>
      </w:r>
    </w:p>
    <w:p w14:paraId="622A07D0" w14:textId="77777777" w:rsidR="005E09AE" w:rsidRPr="000A5A4C" w:rsidRDefault="005E09AE" w:rsidP="005E09AE">
      <w:pPr>
        <w:ind w:left="-990"/>
        <w:rPr>
          <w:rFonts w:ascii="Georgia" w:eastAsia="Times New Roman" w:hAnsi="Georgia" w:cs="Times New Roman"/>
        </w:rPr>
      </w:pPr>
    </w:p>
    <w:p w14:paraId="017AB27F" w14:textId="17E66438" w:rsidR="00EF13B7" w:rsidRPr="005E09AE" w:rsidRDefault="00EF13B7" w:rsidP="005E09AE">
      <w:pPr>
        <w:ind w:left="-990"/>
        <w:rPr>
          <w:rFonts w:eastAsia="Times New Roman" w:cs="Times New Roman"/>
        </w:rPr>
      </w:pPr>
      <w:r w:rsidRPr="000A5A4C">
        <w:rPr>
          <w:rFonts w:ascii="Georgia" w:eastAsia="Times New Roman" w:hAnsi="Georgia" w:cs="Times New Roman"/>
        </w:rPr>
        <w:t>Anything built here, an unrelenting desert, was an act of sheer will imposed on terr</w:t>
      </w:r>
      <w:r w:rsidR="000A5A4C">
        <w:rPr>
          <w:rFonts w:ascii="Georgia" w:eastAsia="Times New Roman" w:hAnsi="Georgia" w:cs="Times New Roman"/>
        </w:rPr>
        <w:t>itory unsuited for habitation. —</w:t>
      </w:r>
      <w:r w:rsidRPr="000A5A4C">
        <w:rPr>
          <w:rFonts w:ascii="Georgia" w:eastAsia="Times New Roman" w:hAnsi="Georgia" w:cs="Times New Roman"/>
        </w:rPr>
        <w:t xml:space="preserve">Dave Eggers, </w:t>
      </w:r>
      <w:r w:rsidR="000A5A4C" w:rsidRPr="000A5A4C">
        <w:rPr>
          <w:rFonts w:ascii="Georgia" w:eastAsia="Times New Roman" w:hAnsi="Georgia" w:cs="Times New Roman"/>
          <w:i/>
        </w:rPr>
        <w:t xml:space="preserve">A </w:t>
      </w:r>
      <w:r w:rsidRPr="000A5A4C">
        <w:rPr>
          <w:rFonts w:ascii="Georgia" w:eastAsia="Times New Roman" w:hAnsi="Georgia" w:cs="Times New Roman"/>
          <w:i/>
        </w:rPr>
        <w:t xml:space="preserve">Hologram for </w:t>
      </w:r>
      <w:r w:rsidR="000A5A4C" w:rsidRPr="000A5A4C">
        <w:rPr>
          <w:rFonts w:ascii="Georgia" w:eastAsia="Times New Roman" w:hAnsi="Georgia" w:cs="Times New Roman"/>
          <w:i/>
        </w:rPr>
        <w:t>the</w:t>
      </w:r>
      <w:r w:rsidRPr="000A5A4C">
        <w:rPr>
          <w:rFonts w:ascii="Georgia" w:eastAsia="Times New Roman" w:hAnsi="Georgia" w:cs="Times New Roman"/>
          <w:i/>
        </w:rPr>
        <w:t xml:space="preserve"> King</w:t>
      </w:r>
      <w:r w:rsidR="000A5A4C">
        <w:rPr>
          <w:rFonts w:ascii="Georgia" w:eastAsia="Times New Roman" w:hAnsi="Georgia" w:cs="Times New Roman"/>
        </w:rPr>
        <w:t>.</w:t>
      </w:r>
      <w:r w:rsidRPr="000A5A4C">
        <w:rPr>
          <w:rFonts w:ascii="Georgia" w:eastAsia="Times New Roman" w:hAnsi="Georgia" w:cs="Times New Roman"/>
          <w:sz w:val="20"/>
          <w:szCs w:val="20"/>
        </w:rPr>
        <w:br/>
      </w:r>
    </w:p>
    <w:p w14:paraId="5B1E763F" w14:textId="77777777" w:rsidR="00EF13B7" w:rsidRPr="007C4D68" w:rsidRDefault="00EF13B7" w:rsidP="00EF13B7">
      <w:pPr>
        <w:ind w:left="-990"/>
        <w:rPr>
          <w:i/>
        </w:rPr>
      </w:pPr>
    </w:p>
    <w:sectPr w:rsidR="00EF13B7" w:rsidRPr="007C4D68" w:rsidSect="004459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F19A1"/>
    <w:multiLevelType w:val="hybridMultilevel"/>
    <w:tmpl w:val="26F2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875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65"/>
    <w:rsid w:val="00060700"/>
    <w:rsid w:val="000A5A4C"/>
    <w:rsid w:val="00127CBB"/>
    <w:rsid w:val="002B4C65"/>
    <w:rsid w:val="003E32AC"/>
    <w:rsid w:val="0040043B"/>
    <w:rsid w:val="00445903"/>
    <w:rsid w:val="00454BC2"/>
    <w:rsid w:val="005C1C03"/>
    <w:rsid w:val="005E09AE"/>
    <w:rsid w:val="0068172C"/>
    <w:rsid w:val="007C4D68"/>
    <w:rsid w:val="008C7F1A"/>
    <w:rsid w:val="00BC6659"/>
    <w:rsid w:val="00CF2E16"/>
    <w:rsid w:val="00E17596"/>
    <w:rsid w:val="00EF13B7"/>
    <w:rsid w:val="00F62DAD"/>
    <w:rsid w:val="00FA3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93F75"/>
  <w14:defaultImageDpi w14:val="300"/>
  <w15:docId w15:val="{5F75B432-979E-8740-B462-AA1C30D0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F62DAD"/>
  </w:style>
  <w:style w:type="paragraph" w:customStyle="1" w:styleId="Blockquote">
    <w:name w:val="Block quote"/>
    <w:basedOn w:val="Quote"/>
    <w:next w:val="Normal"/>
    <w:qFormat/>
    <w:rsid w:val="00BC6659"/>
    <w:pPr>
      <w:ind w:left="720"/>
    </w:pPr>
  </w:style>
  <w:style w:type="paragraph" w:styleId="Quote">
    <w:name w:val="Quote"/>
    <w:basedOn w:val="Normal"/>
    <w:next w:val="Normal"/>
    <w:link w:val="QuoteChar"/>
    <w:uiPriority w:val="29"/>
    <w:qFormat/>
    <w:rsid w:val="00BC6659"/>
    <w:rPr>
      <w:i/>
      <w:iCs/>
      <w:color w:val="000000" w:themeColor="text1"/>
    </w:rPr>
  </w:style>
  <w:style w:type="character" w:customStyle="1" w:styleId="QuoteChar">
    <w:name w:val="Quote Char"/>
    <w:basedOn w:val="DefaultParagraphFont"/>
    <w:link w:val="Quote"/>
    <w:uiPriority w:val="29"/>
    <w:rsid w:val="00BC6659"/>
    <w:rPr>
      <w:i/>
      <w:iCs/>
      <w:color w:val="000000" w:themeColor="text1"/>
    </w:rPr>
  </w:style>
  <w:style w:type="paragraph" w:styleId="BalloonText">
    <w:name w:val="Balloon Text"/>
    <w:basedOn w:val="Normal"/>
    <w:link w:val="BalloonTextChar"/>
    <w:uiPriority w:val="99"/>
    <w:semiHidden/>
    <w:unhideWhenUsed/>
    <w:rsid w:val="00454B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BC2"/>
    <w:rPr>
      <w:rFonts w:ascii="Lucida Grande" w:hAnsi="Lucida Grande" w:cs="Lucida Grande"/>
      <w:sz w:val="18"/>
      <w:szCs w:val="18"/>
    </w:rPr>
  </w:style>
  <w:style w:type="character" w:styleId="Hyperlink">
    <w:name w:val="Hyperlink"/>
    <w:basedOn w:val="DefaultParagraphFont"/>
    <w:uiPriority w:val="99"/>
    <w:unhideWhenUsed/>
    <w:rsid w:val="007C4D68"/>
    <w:rPr>
      <w:color w:val="0000FF"/>
      <w:u w:val="single"/>
    </w:rPr>
  </w:style>
  <w:style w:type="table" w:styleId="ColorfulGrid-Accent5">
    <w:name w:val="Colorful Grid Accent 5"/>
    <w:basedOn w:val="TableNormal"/>
    <w:uiPriority w:val="73"/>
    <w:rsid w:val="007C4D68"/>
    <w:rPr>
      <w:rFonts w:eastAsiaTheme="minorHAnsi"/>
      <w:color w:val="000000" w:themeColor="text1"/>
      <w:sz w:val="22"/>
      <w:szCs w:val="22"/>
      <w:lang w:val="es-DO"/>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Emphasis">
    <w:name w:val="Emphasis"/>
    <w:basedOn w:val="DefaultParagraphFont"/>
    <w:uiPriority w:val="20"/>
    <w:qFormat/>
    <w:rsid w:val="00FA3D67"/>
    <w:rPr>
      <w:i/>
      <w:iCs/>
    </w:rPr>
  </w:style>
  <w:style w:type="paragraph" w:styleId="NormalWeb">
    <w:name w:val="Normal (Web)"/>
    <w:basedOn w:val="Normal"/>
    <w:uiPriority w:val="99"/>
    <w:semiHidden/>
    <w:unhideWhenUsed/>
    <w:rsid w:val="00EF13B7"/>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E09AE"/>
    <w:pPr>
      <w:ind w:left="720"/>
      <w:contextualSpacing/>
    </w:pPr>
  </w:style>
  <w:style w:type="character" w:styleId="FollowedHyperlink">
    <w:name w:val="FollowedHyperlink"/>
    <w:basedOn w:val="DefaultParagraphFont"/>
    <w:uiPriority w:val="99"/>
    <w:semiHidden/>
    <w:unhideWhenUsed/>
    <w:rsid w:val="00CF2E16"/>
    <w:rPr>
      <w:color w:val="800080" w:themeColor="followedHyperlink"/>
      <w:u w:val="single"/>
    </w:rPr>
  </w:style>
  <w:style w:type="character" w:styleId="UnresolvedMention">
    <w:name w:val="Unresolved Mention"/>
    <w:basedOn w:val="DefaultParagraphFont"/>
    <w:uiPriority w:val="99"/>
    <w:semiHidden/>
    <w:unhideWhenUsed/>
    <w:rsid w:val="00400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28652">
      <w:bodyDiv w:val="1"/>
      <w:marLeft w:val="0"/>
      <w:marRight w:val="0"/>
      <w:marTop w:val="0"/>
      <w:marBottom w:val="0"/>
      <w:divBdr>
        <w:top w:val="none" w:sz="0" w:space="0" w:color="auto"/>
        <w:left w:val="none" w:sz="0" w:space="0" w:color="auto"/>
        <w:bottom w:val="none" w:sz="0" w:space="0" w:color="auto"/>
        <w:right w:val="none" w:sz="0" w:space="0" w:color="auto"/>
      </w:divBdr>
      <w:divsChild>
        <w:div w:id="1376738043">
          <w:marLeft w:val="0"/>
          <w:marRight w:val="0"/>
          <w:marTop w:val="0"/>
          <w:marBottom w:val="0"/>
          <w:divBdr>
            <w:top w:val="none" w:sz="0" w:space="0" w:color="auto"/>
            <w:left w:val="none" w:sz="0" w:space="0" w:color="auto"/>
            <w:bottom w:val="none" w:sz="0" w:space="0" w:color="auto"/>
            <w:right w:val="none" w:sz="0" w:space="0" w:color="auto"/>
          </w:divBdr>
        </w:div>
        <w:div w:id="73285944">
          <w:marLeft w:val="0"/>
          <w:marRight w:val="0"/>
          <w:marTop w:val="0"/>
          <w:marBottom w:val="0"/>
          <w:divBdr>
            <w:top w:val="none" w:sz="0" w:space="0" w:color="auto"/>
            <w:left w:val="none" w:sz="0" w:space="0" w:color="auto"/>
            <w:bottom w:val="none" w:sz="0" w:space="0" w:color="auto"/>
            <w:right w:val="none" w:sz="0" w:space="0" w:color="auto"/>
          </w:divBdr>
        </w:div>
      </w:divsChild>
    </w:div>
    <w:div w:id="1246299461">
      <w:bodyDiv w:val="1"/>
      <w:marLeft w:val="0"/>
      <w:marRight w:val="0"/>
      <w:marTop w:val="0"/>
      <w:marBottom w:val="0"/>
      <w:divBdr>
        <w:top w:val="none" w:sz="0" w:space="0" w:color="auto"/>
        <w:left w:val="none" w:sz="0" w:space="0" w:color="auto"/>
        <w:bottom w:val="none" w:sz="0" w:space="0" w:color="auto"/>
        <w:right w:val="none" w:sz="0" w:space="0" w:color="auto"/>
      </w:divBdr>
      <w:divsChild>
        <w:div w:id="1718580654">
          <w:marLeft w:val="0"/>
          <w:marRight w:val="0"/>
          <w:marTop w:val="0"/>
          <w:marBottom w:val="0"/>
          <w:divBdr>
            <w:top w:val="none" w:sz="0" w:space="0" w:color="auto"/>
            <w:left w:val="none" w:sz="0" w:space="0" w:color="auto"/>
            <w:bottom w:val="none" w:sz="0" w:space="0" w:color="auto"/>
            <w:right w:val="none" w:sz="0" w:space="0" w:color="auto"/>
          </w:divBdr>
        </w:div>
      </w:divsChild>
    </w:div>
    <w:div w:id="1524787410">
      <w:bodyDiv w:val="1"/>
      <w:marLeft w:val="0"/>
      <w:marRight w:val="0"/>
      <w:marTop w:val="0"/>
      <w:marBottom w:val="0"/>
      <w:divBdr>
        <w:top w:val="none" w:sz="0" w:space="0" w:color="auto"/>
        <w:left w:val="none" w:sz="0" w:space="0" w:color="auto"/>
        <w:bottom w:val="none" w:sz="0" w:space="0" w:color="auto"/>
        <w:right w:val="none" w:sz="0" w:space="0" w:color="auto"/>
      </w:divBdr>
      <w:divsChild>
        <w:div w:id="68362761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hyperlink" Target="http://www.youtube.com/watch?v=k_3Eg9rUpUs" TargetMode="External"/><Relationship Id="rId4" Type="http://schemas.openxmlformats.org/officeDocument/2006/relationships/webSettings" Target="webSettings.xml"/><Relationship Id="rId9" Type="http://schemas.openxmlformats.org/officeDocument/2006/relationships/hyperlink" Target="https://www.weather.gov/wrh/Climate?wfo=ps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francesca\Documents\Work%20Study%20Projects\reserviour%20nam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rancesca\Documents\Work%20Study%20Projects\resiviour%20storag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rancesca\Documents\Work%20Study%20Projects\reserviour%20nam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en-US" sz="1600"/>
              <a:t>Arizona Reservoir</a:t>
            </a:r>
            <a:r>
              <a:rPr lang="en-US" sz="1600" baseline="0"/>
              <a:t> </a:t>
            </a:r>
            <a:r>
              <a:rPr lang="en-US" sz="1600"/>
              <a:t>Storage </a:t>
            </a:r>
            <a:br>
              <a:rPr lang="en-US"/>
            </a:br>
            <a:r>
              <a:rPr lang="en-US" sz="1400"/>
              <a:t>June</a:t>
            </a:r>
            <a:r>
              <a:rPr lang="en-US" sz="1400" baseline="0"/>
              <a:t> 2012</a:t>
            </a:r>
            <a:endParaRPr lang="en-US" sz="1400"/>
          </a:p>
        </c:rich>
      </c:tx>
      <c:overlay val="0"/>
    </c:title>
    <c:autoTitleDeleted val="0"/>
    <c:plotArea>
      <c:layout>
        <c:manualLayout>
          <c:layoutTarget val="inner"/>
          <c:xMode val="edge"/>
          <c:yMode val="edge"/>
          <c:x val="0.243774257947486"/>
          <c:y val="0.30290106844173398"/>
          <c:w val="0.432705641524539"/>
          <c:h val="0.57844103281706405"/>
        </c:manualLayout>
      </c:layout>
      <c:barChart>
        <c:barDir val="bar"/>
        <c:grouping val="clustered"/>
        <c:varyColors val="0"/>
        <c:ser>
          <c:idx val="0"/>
          <c:order val="0"/>
          <c:tx>
            <c:strRef>
              <c:f>Sheet1!$B$1</c:f>
              <c:strCache>
                <c:ptCount val="1"/>
                <c:pt idx="0">
                  <c:v>Current Storage         (acre-feet)</c:v>
                </c:pt>
              </c:strCache>
            </c:strRef>
          </c:tx>
          <c:invertIfNegative val="0"/>
          <c:cat>
            <c:strRef>
              <c:f>Sheet1!$A$2:$A$9</c:f>
              <c:strCache>
                <c:ptCount val="8"/>
                <c:pt idx="0">
                  <c:v>Lake Powell</c:v>
                </c:pt>
                <c:pt idx="1">
                  <c:v>Lake Mead</c:v>
                </c:pt>
                <c:pt idx="2">
                  <c:v>Lake Mohave</c:v>
                </c:pt>
                <c:pt idx="3">
                  <c:v>Lake Havasu</c:v>
                </c:pt>
                <c:pt idx="4">
                  <c:v>Layman Reservoir</c:v>
                </c:pt>
                <c:pt idx="5">
                  <c:v>San Carlos</c:v>
                </c:pt>
                <c:pt idx="6">
                  <c:v>Verde River System</c:v>
                </c:pt>
                <c:pt idx="7">
                  <c:v>Salt River System</c:v>
                </c:pt>
              </c:strCache>
            </c:strRef>
          </c:cat>
          <c:val>
            <c:numRef>
              <c:f>Sheet1!$B$2:$B$9</c:f>
              <c:numCache>
                <c:formatCode>#,##0</c:formatCode>
                <c:ptCount val="8"/>
                <c:pt idx="0">
                  <c:v>15294</c:v>
                </c:pt>
                <c:pt idx="1">
                  <c:v>13200</c:v>
                </c:pt>
                <c:pt idx="2" formatCode="#,##0.00">
                  <c:v>1693.2</c:v>
                </c:pt>
                <c:pt idx="3" formatCode="General">
                  <c:v>584.5</c:v>
                </c:pt>
                <c:pt idx="4" formatCode="General">
                  <c:v>7.9</c:v>
                </c:pt>
                <c:pt idx="5" formatCode="General">
                  <c:v>1.7</c:v>
                </c:pt>
                <c:pt idx="6" formatCode="General">
                  <c:v>79.2</c:v>
                </c:pt>
                <c:pt idx="7" formatCode="#,##0.00">
                  <c:v>1277.4000000000001</c:v>
                </c:pt>
              </c:numCache>
            </c:numRef>
          </c:val>
          <c:extLst>
            <c:ext xmlns:c16="http://schemas.microsoft.com/office/drawing/2014/chart" uri="{C3380CC4-5D6E-409C-BE32-E72D297353CC}">
              <c16:uniqueId val="{00000000-6695-C440-8576-1959FF567D5F}"/>
            </c:ext>
          </c:extLst>
        </c:ser>
        <c:dLbls>
          <c:showLegendKey val="0"/>
          <c:showVal val="0"/>
          <c:showCatName val="0"/>
          <c:showSerName val="0"/>
          <c:showPercent val="0"/>
          <c:showBubbleSize val="0"/>
        </c:dLbls>
        <c:gapWidth val="150"/>
        <c:axId val="2107656744"/>
        <c:axId val="2109860536"/>
      </c:barChart>
      <c:catAx>
        <c:axId val="2107656744"/>
        <c:scaling>
          <c:orientation val="minMax"/>
        </c:scaling>
        <c:delete val="0"/>
        <c:axPos val="l"/>
        <c:numFmt formatCode="General" sourceLinked="0"/>
        <c:majorTickMark val="out"/>
        <c:minorTickMark val="none"/>
        <c:tickLblPos val="nextTo"/>
        <c:crossAx val="2109860536"/>
        <c:crosses val="autoZero"/>
        <c:auto val="1"/>
        <c:lblAlgn val="ctr"/>
        <c:lblOffset val="100"/>
        <c:noMultiLvlLbl val="0"/>
      </c:catAx>
      <c:valAx>
        <c:axId val="2109860536"/>
        <c:scaling>
          <c:orientation val="minMax"/>
        </c:scaling>
        <c:delete val="0"/>
        <c:axPos val="b"/>
        <c:majorGridlines/>
        <c:numFmt formatCode="#,##0" sourceLinked="1"/>
        <c:majorTickMark val="out"/>
        <c:minorTickMark val="none"/>
        <c:tickLblPos val="nextTo"/>
        <c:crossAx val="2107656744"/>
        <c:crosses val="autoZero"/>
        <c:crossBetween val="between"/>
      </c:valAx>
    </c:plotArea>
    <c:legend>
      <c:legendPos val="r"/>
      <c:layout>
        <c:manualLayout>
          <c:xMode val="edge"/>
          <c:yMode val="edge"/>
          <c:x val="0.68142847008988805"/>
          <c:y val="0.58731102365728705"/>
          <c:w val="0.30312751446609698"/>
          <c:h val="0.18038084681690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s-DO" sz="1200" b="1" i="0" u="none" strike="noStrike" baseline="0">
                <a:effectLst/>
              </a:rPr>
              <a:t>Maricopa County, Arizona</a:t>
            </a:r>
            <a:br>
              <a:rPr lang="es-DO" sz="1200" b="1" i="0" u="none" strike="noStrike" baseline="0">
                <a:effectLst/>
              </a:rPr>
            </a:br>
            <a:r>
              <a:rPr lang="es-DO" sz="1200" b="1" i="0" u="none" strike="noStrike" baseline="0">
                <a:effectLst/>
              </a:rPr>
              <a:t>Public Water Supply</a:t>
            </a:r>
            <a:endParaRPr lang="es-DO" sz="1200" b="1"/>
          </a:p>
        </c:rich>
      </c:tx>
      <c:overlay val="0"/>
    </c:title>
    <c:autoTitleDeleted val="0"/>
    <c:plotArea>
      <c:layout>
        <c:manualLayout>
          <c:layoutTarget val="inner"/>
          <c:xMode val="edge"/>
          <c:yMode val="edge"/>
          <c:x val="0.100155103253603"/>
          <c:y val="0.18554411467797299"/>
          <c:w val="0.49706714785651801"/>
          <c:h val="0.69037984835228905"/>
        </c:manualLayout>
      </c:layout>
      <c:barChart>
        <c:barDir val="col"/>
        <c:grouping val="clustered"/>
        <c:varyColors val="0"/>
        <c:ser>
          <c:idx val="0"/>
          <c:order val="0"/>
          <c:tx>
            <c:strRef>
              <c:f>Sheet1!$C$11</c:f>
              <c:strCache>
                <c:ptCount val="1"/>
                <c:pt idx="0">
                  <c:v>Population served by groundwater (in thousands)</c:v>
                </c:pt>
              </c:strCache>
            </c:strRef>
          </c:tx>
          <c:spPr>
            <a:solidFill>
              <a:schemeClr val="accent2">
                <a:lumMod val="60000"/>
                <a:lumOff val="40000"/>
              </a:schemeClr>
            </a:solidFill>
          </c:spPr>
          <c:invertIfNegative val="0"/>
          <c:cat>
            <c:numRef>
              <c:f>Sheet1!$D$10:$H$10</c:f>
              <c:numCache>
                <c:formatCode>General</c:formatCode>
                <c:ptCount val="5"/>
                <c:pt idx="0">
                  <c:v>1985</c:v>
                </c:pt>
                <c:pt idx="1">
                  <c:v>1990</c:v>
                </c:pt>
                <c:pt idx="2">
                  <c:v>1995</c:v>
                </c:pt>
                <c:pt idx="3">
                  <c:v>2000</c:v>
                </c:pt>
                <c:pt idx="4">
                  <c:v>2005</c:v>
                </c:pt>
              </c:numCache>
            </c:numRef>
          </c:cat>
          <c:val>
            <c:numRef>
              <c:f>Sheet1!$D$11:$H$11</c:f>
              <c:numCache>
                <c:formatCode>General</c:formatCode>
                <c:ptCount val="5"/>
                <c:pt idx="0">
                  <c:v>777.8</c:v>
                </c:pt>
                <c:pt idx="1">
                  <c:v>945.85999999999888</c:v>
                </c:pt>
                <c:pt idx="2">
                  <c:v>775.26</c:v>
                </c:pt>
                <c:pt idx="3">
                  <c:v>278.45</c:v>
                </c:pt>
                <c:pt idx="4">
                  <c:v>0</c:v>
                </c:pt>
              </c:numCache>
            </c:numRef>
          </c:val>
          <c:extLst>
            <c:ext xmlns:c16="http://schemas.microsoft.com/office/drawing/2014/chart" uri="{C3380CC4-5D6E-409C-BE32-E72D297353CC}">
              <c16:uniqueId val="{00000000-035A-2040-9782-17F5743CE143}"/>
            </c:ext>
          </c:extLst>
        </c:ser>
        <c:ser>
          <c:idx val="1"/>
          <c:order val="1"/>
          <c:tx>
            <c:strRef>
              <c:f>Sheet1!$C$12</c:f>
              <c:strCache>
                <c:ptCount val="1"/>
                <c:pt idx="0">
                  <c:v>Population served by surface water (in thousands)</c:v>
                </c:pt>
              </c:strCache>
            </c:strRef>
          </c:tx>
          <c:invertIfNegative val="0"/>
          <c:cat>
            <c:numRef>
              <c:f>Sheet1!$D$10:$H$10</c:f>
              <c:numCache>
                <c:formatCode>General</c:formatCode>
                <c:ptCount val="5"/>
                <c:pt idx="0">
                  <c:v>1985</c:v>
                </c:pt>
                <c:pt idx="1">
                  <c:v>1990</c:v>
                </c:pt>
                <c:pt idx="2">
                  <c:v>1995</c:v>
                </c:pt>
                <c:pt idx="3">
                  <c:v>2000</c:v>
                </c:pt>
                <c:pt idx="4">
                  <c:v>2005</c:v>
                </c:pt>
              </c:numCache>
            </c:numRef>
          </c:cat>
          <c:val>
            <c:numRef>
              <c:f>Sheet1!$D$12:$H$12</c:f>
              <c:numCache>
                <c:formatCode>General</c:formatCode>
                <c:ptCount val="5"/>
                <c:pt idx="0">
                  <c:v>1043.8</c:v>
                </c:pt>
                <c:pt idx="1">
                  <c:v>1114.45</c:v>
                </c:pt>
                <c:pt idx="2">
                  <c:v>1582.59</c:v>
                </c:pt>
                <c:pt idx="3">
                  <c:v>2750.69</c:v>
                </c:pt>
                <c:pt idx="4">
                  <c:v>0</c:v>
                </c:pt>
              </c:numCache>
            </c:numRef>
          </c:val>
          <c:extLst>
            <c:ext xmlns:c16="http://schemas.microsoft.com/office/drawing/2014/chart" uri="{C3380CC4-5D6E-409C-BE32-E72D297353CC}">
              <c16:uniqueId val="{00000001-035A-2040-9782-17F5743CE143}"/>
            </c:ext>
          </c:extLst>
        </c:ser>
        <c:ser>
          <c:idx val="2"/>
          <c:order val="2"/>
          <c:tx>
            <c:strRef>
              <c:f>Sheet1!$C$13</c:f>
              <c:strCache>
                <c:ptCount val="1"/>
                <c:pt idx="0">
                  <c:v>Total population served (in thousands)</c:v>
                </c:pt>
              </c:strCache>
            </c:strRef>
          </c:tx>
          <c:spPr>
            <a:solidFill>
              <a:schemeClr val="accent2">
                <a:lumMod val="50000"/>
              </a:schemeClr>
            </a:solidFill>
          </c:spPr>
          <c:invertIfNegative val="0"/>
          <c:cat>
            <c:numRef>
              <c:f>Sheet1!$D$10:$H$10</c:f>
              <c:numCache>
                <c:formatCode>General</c:formatCode>
                <c:ptCount val="5"/>
                <c:pt idx="0">
                  <c:v>1985</c:v>
                </c:pt>
                <c:pt idx="1">
                  <c:v>1990</c:v>
                </c:pt>
                <c:pt idx="2">
                  <c:v>1995</c:v>
                </c:pt>
                <c:pt idx="3">
                  <c:v>2000</c:v>
                </c:pt>
                <c:pt idx="4">
                  <c:v>2005</c:v>
                </c:pt>
              </c:numCache>
            </c:numRef>
          </c:cat>
          <c:val>
            <c:numRef>
              <c:f>Sheet1!$D$13:$H$13</c:f>
              <c:numCache>
                <c:formatCode>General</c:formatCode>
                <c:ptCount val="5"/>
                <c:pt idx="0">
                  <c:v>1821.6</c:v>
                </c:pt>
                <c:pt idx="1">
                  <c:v>2060.31</c:v>
                </c:pt>
                <c:pt idx="2">
                  <c:v>2357.85</c:v>
                </c:pt>
                <c:pt idx="3">
                  <c:v>3029.14</c:v>
                </c:pt>
                <c:pt idx="4">
                  <c:v>3593.0859999999998</c:v>
                </c:pt>
              </c:numCache>
            </c:numRef>
          </c:val>
          <c:extLst>
            <c:ext xmlns:c16="http://schemas.microsoft.com/office/drawing/2014/chart" uri="{C3380CC4-5D6E-409C-BE32-E72D297353CC}">
              <c16:uniqueId val="{00000002-035A-2040-9782-17F5743CE143}"/>
            </c:ext>
          </c:extLst>
        </c:ser>
        <c:dLbls>
          <c:showLegendKey val="0"/>
          <c:showVal val="0"/>
          <c:showCatName val="0"/>
          <c:showSerName val="0"/>
          <c:showPercent val="0"/>
          <c:showBubbleSize val="0"/>
        </c:dLbls>
        <c:gapWidth val="75"/>
        <c:overlap val="-25"/>
        <c:axId val="2108294136"/>
        <c:axId val="2108290520"/>
      </c:barChart>
      <c:catAx>
        <c:axId val="2108294136"/>
        <c:scaling>
          <c:orientation val="minMax"/>
        </c:scaling>
        <c:delete val="0"/>
        <c:axPos val="b"/>
        <c:numFmt formatCode="General" sourceLinked="1"/>
        <c:majorTickMark val="none"/>
        <c:minorTickMark val="none"/>
        <c:tickLblPos val="nextTo"/>
        <c:crossAx val="2108290520"/>
        <c:crosses val="autoZero"/>
        <c:auto val="1"/>
        <c:lblAlgn val="ctr"/>
        <c:lblOffset val="100"/>
        <c:noMultiLvlLbl val="0"/>
      </c:catAx>
      <c:valAx>
        <c:axId val="2108290520"/>
        <c:scaling>
          <c:orientation val="minMax"/>
        </c:scaling>
        <c:delete val="0"/>
        <c:axPos val="l"/>
        <c:majorGridlines/>
        <c:numFmt formatCode="General" sourceLinked="1"/>
        <c:majorTickMark val="none"/>
        <c:minorTickMark val="none"/>
        <c:tickLblPos val="nextTo"/>
        <c:spPr>
          <a:ln w="9525">
            <a:noFill/>
          </a:ln>
        </c:spPr>
        <c:crossAx val="2108294136"/>
        <c:crosses val="autoZero"/>
        <c:crossBetween val="between"/>
      </c:valAx>
    </c:plotArea>
    <c:legend>
      <c:legendPos val="b"/>
      <c:layout>
        <c:manualLayout>
          <c:xMode val="edge"/>
          <c:yMode val="edge"/>
          <c:x val="0.61433180227471595"/>
          <c:y val="0.167829906678332"/>
          <c:w val="0.36578062117235299"/>
          <c:h val="0.48031824146981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lgn="ctr">
              <a:defRPr/>
            </a:pPr>
            <a:r>
              <a:rPr lang="en-US" sz="1600"/>
              <a:t>Phoenix, Arizona, Rainfall in Monsoon Season</a:t>
            </a:r>
            <a:br>
              <a:rPr lang="en-US"/>
            </a:br>
            <a:r>
              <a:rPr lang="es-DO" sz="1400"/>
              <a:t>1896-2013</a:t>
            </a:r>
          </a:p>
          <a:p>
            <a:pPr algn="ctr">
              <a:defRPr/>
            </a:pPr>
            <a:r>
              <a:rPr lang="en-US"/>
              <a:t> </a:t>
            </a:r>
          </a:p>
        </c:rich>
      </c:tx>
      <c:layout>
        <c:manualLayout>
          <c:xMode val="edge"/>
          <c:yMode val="edge"/>
          <c:x val="0.23039737996326601"/>
          <c:y val="7.7884853945495601E-3"/>
        </c:manualLayout>
      </c:layout>
      <c:overlay val="0"/>
    </c:title>
    <c:autoTitleDeleted val="0"/>
    <c:plotArea>
      <c:layout>
        <c:manualLayout>
          <c:layoutTarget val="inner"/>
          <c:xMode val="edge"/>
          <c:yMode val="edge"/>
          <c:x val="9.8993875765529302E-2"/>
          <c:y val="0.189669108525613"/>
          <c:w val="0.87131517500709699"/>
          <c:h val="0.69639092162410299"/>
        </c:manualLayout>
      </c:layout>
      <c:scatterChart>
        <c:scatterStyle val="smoothMarker"/>
        <c:varyColors val="0"/>
        <c:ser>
          <c:idx val="0"/>
          <c:order val="0"/>
          <c:tx>
            <c:strRef>
              <c:f>'Monsoon Data'!$B$1:$B$2</c:f>
              <c:strCache>
                <c:ptCount val="1"/>
                <c:pt idx="0">
                  <c:v>Arizona Rainful in Monsoon Season Rainfall (inches)</c:v>
                </c:pt>
              </c:strCache>
            </c:strRef>
          </c:tx>
          <c:xVal>
            <c:numRef>
              <c:f>'Monsoon Data'!$A$3:$A$120</c:f>
              <c:numCache>
                <c:formatCode>General</c:formatCode>
                <c:ptCount val="118"/>
                <c:pt idx="0">
                  <c:v>1896</c:v>
                </c:pt>
                <c:pt idx="1">
                  <c:v>1897</c:v>
                </c:pt>
                <c:pt idx="2">
                  <c:v>1898</c:v>
                </c:pt>
                <c:pt idx="3">
                  <c:v>1899</c:v>
                </c:pt>
                <c:pt idx="4">
                  <c:v>1900</c:v>
                </c:pt>
                <c:pt idx="5">
                  <c:v>1901</c:v>
                </c:pt>
                <c:pt idx="6">
                  <c:v>1902</c:v>
                </c:pt>
                <c:pt idx="7">
                  <c:v>1903</c:v>
                </c:pt>
                <c:pt idx="8">
                  <c:v>1904</c:v>
                </c:pt>
                <c:pt idx="9">
                  <c:v>1905</c:v>
                </c:pt>
                <c:pt idx="10">
                  <c:v>1906</c:v>
                </c:pt>
                <c:pt idx="11">
                  <c:v>1907</c:v>
                </c:pt>
                <c:pt idx="12">
                  <c:v>1908</c:v>
                </c:pt>
                <c:pt idx="13">
                  <c:v>1909</c:v>
                </c:pt>
                <c:pt idx="14">
                  <c:v>1910</c:v>
                </c:pt>
                <c:pt idx="15">
                  <c:v>1911</c:v>
                </c:pt>
                <c:pt idx="16">
                  <c:v>1912</c:v>
                </c:pt>
                <c:pt idx="17">
                  <c:v>1913</c:v>
                </c:pt>
                <c:pt idx="18">
                  <c:v>1914</c:v>
                </c:pt>
                <c:pt idx="19">
                  <c:v>1915</c:v>
                </c:pt>
                <c:pt idx="20">
                  <c:v>1916</c:v>
                </c:pt>
                <c:pt idx="21">
                  <c:v>1917</c:v>
                </c:pt>
                <c:pt idx="22">
                  <c:v>1918</c:v>
                </c:pt>
                <c:pt idx="23">
                  <c:v>1919</c:v>
                </c:pt>
                <c:pt idx="24">
                  <c:v>1920</c:v>
                </c:pt>
                <c:pt idx="25">
                  <c:v>1921</c:v>
                </c:pt>
                <c:pt idx="26">
                  <c:v>1922</c:v>
                </c:pt>
                <c:pt idx="27">
                  <c:v>1923</c:v>
                </c:pt>
                <c:pt idx="28">
                  <c:v>1924</c:v>
                </c:pt>
                <c:pt idx="29">
                  <c:v>1925</c:v>
                </c:pt>
                <c:pt idx="30">
                  <c:v>1926</c:v>
                </c:pt>
                <c:pt idx="31">
                  <c:v>1927</c:v>
                </c:pt>
                <c:pt idx="32">
                  <c:v>1928</c:v>
                </c:pt>
                <c:pt idx="33">
                  <c:v>1929</c:v>
                </c:pt>
                <c:pt idx="34">
                  <c:v>1930</c:v>
                </c:pt>
                <c:pt idx="35">
                  <c:v>1931</c:v>
                </c:pt>
                <c:pt idx="36">
                  <c:v>1932</c:v>
                </c:pt>
                <c:pt idx="37">
                  <c:v>1933</c:v>
                </c:pt>
                <c:pt idx="38">
                  <c:v>1934</c:v>
                </c:pt>
                <c:pt idx="39">
                  <c:v>1935</c:v>
                </c:pt>
                <c:pt idx="40">
                  <c:v>1936</c:v>
                </c:pt>
                <c:pt idx="41">
                  <c:v>1937</c:v>
                </c:pt>
                <c:pt idx="42">
                  <c:v>1938</c:v>
                </c:pt>
                <c:pt idx="43">
                  <c:v>1939</c:v>
                </c:pt>
                <c:pt idx="44">
                  <c:v>1940</c:v>
                </c:pt>
                <c:pt idx="45">
                  <c:v>1941</c:v>
                </c:pt>
                <c:pt idx="46">
                  <c:v>1942</c:v>
                </c:pt>
                <c:pt idx="47">
                  <c:v>1943</c:v>
                </c:pt>
                <c:pt idx="48">
                  <c:v>1944</c:v>
                </c:pt>
                <c:pt idx="49">
                  <c:v>1945</c:v>
                </c:pt>
                <c:pt idx="50">
                  <c:v>1946</c:v>
                </c:pt>
                <c:pt idx="51">
                  <c:v>1947</c:v>
                </c:pt>
                <c:pt idx="52">
                  <c:v>1948</c:v>
                </c:pt>
                <c:pt idx="53">
                  <c:v>1949</c:v>
                </c:pt>
                <c:pt idx="54">
                  <c:v>1950</c:v>
                </c:pt>
                <c:pt idx="55">
                  <c:v>1951</c:v>
                </c:pt>
                <c:pt idx="56">
                  <c:v>1952</c:v>
                </c:pt>
                <c:pt idx="57">
                  <c:v>1953</c:v>
                </c:pt>
                <c:pt idx="58">
                  <c:v>1954</c:v>
                </c:pt>
                <c:pt idx="59">
                  <c:v>1955</c:v>
                </c:pt>
                <c:pt idx="60">
                  <c:v>1956</c:v>
                </c:pt>
                <c:pt idx="61">
                  <c:v>1957</c:v>
                </c:pt>
                <c:pt idx="62">
                  <c:v>1958</c:v>
                </c:pt>
                <c:pt idx="63">
                  <c:v>1959</c:v>
                </c:pt>
                <c:pt idx="64">
                  <c:v>1960</c:v>
                </c:pt>
                <c:pt idx="65">
                  <c:v>1961</c:v>
                </c:pt>
                <c:pt idx="66">
                  <c:v>1962</c:v>
                </c:pt>
                <c:pt idx="67">
                  <c:v>1963</c:v>
                </c:pt>
                <c:pt idx="68">
                  <c:v>1964</c:v>
                </c:pt>
                <c:pt idx="69">
                  <c:v>1965</c:v>
                </c:pt>
                <c:pt idx="70">
                  <c:v>1966</c:v>
                </c:pt>
                <c:pt idx="71">
                  <c:v>1967</c:v>
                </c:pt>
                <c:pt idx="72">
                  <c:v>1968</c:v>
                </c:pt>
                <c:pt idx="73">
                  <c:v>1969</c:v>
                </c:pt>
                <c:pt idx="74">
                  <c:v>1970</c:v>
                </c:pt>
                <c:pt idx="75">
                  <c:v>1971</c:v>
                </c:pt>
                <c:pt idx="76">
                  <c:v>1972</c:v>
                </c:pt>
                <c:pt idx="77">
                  <c:v>1973</c:v>
                </c:pt>
                <c:pt idx="78">
                  <c:v>1974</c:v>
                </c:pt>
                <c:pt idx="79">
                  <c:v>1975</c:v>
                </c:pt>
                <c:pt idx="80">
                  <c:v>1976</c:v>
                </c:pt>
                <c:pt idx="81">
                  <c:v>1977</c:v>
                </c:pt>
                <c:pt idx="82">
                  <c:v>1978</c:v>
                </c:pt>
                <c:pt idx="83">
                  <c:v>1979</c:v>
                </c:pt>
                <c:pt idx="84">
                  <c:v>1980</c:v>
                </c:pt>
                <c:pt idx="85">
                  <c:v>1981</c:v>
                </c:pt>
                <c:pt idx="86">
                  <c:v>1982</c:v>
                </c:pt>
                <c:pt idx="87">
                  <c:v>1983</c:v>
                </c:pt>
                <c:pt idx="88">
                  <c:v>1984</c:v>
                </c:pt>
                <c:pt idx="89">
                  <c:v>1985</c:v>
                </c:pt>
                <c:pt idx="90">
                  <c:v>1986</c:v>
                </c:pt>
                <c:pt idx="91">
                  <c:v>1987</c:v>
                </c:pt>
                <c:pt idx="92">
                  <c:v>1988</c:v>
                </c:pt>
                <c:pt idx="93">
                  <c:v>1989</c:v>
                </c:pt>
                <c:pt idx="94">
                  <c:v>1990</c:v>
                </c:pt>
                <c:pt idx="95">
                  <c:v>1991</c:v>
                </c:pt>
                <c:pt idx="96">
                  <c:v>1992</c:v>
                </c:pt>
                <c:pt idx="97">
                  <c:v>1993</c:v>
                </c:pt>
                <c:pt idx="98">
                  <c:v>1994</c:v>
                </c:pt>
                <c:pt idx="99">
                  <c:v>1995</c:v>
                </c:pt>
                <c:pt idx="100">
                  <c:v>1996</c:v>
                </c:pt>
                <c:pt idx="101">
                  <c:v>1997</c:v>
                </c:pt>
                <c:pt idx="102">
                  <c:v>1998</c:v>
                </c:pt>
                <c:pt idx="103">
                  <c:v>1999</c:v>
                </c:pt>
                <c:pt idx="104">
                  <c:v>2000</c:v>
                </c:pt>
                <c:pt idx="105">
                  <c:v>2001</c:v>
                </c:pt>
                <c:pt idx="106">
                  <c:v>2002</c:v>
                </c:pt>
                <c:pt idx="107">
                  <c:v>2003</c:v>
                </c:pt>
                <c:pt idx="108">
                  <c:v>2004</c:v>
                </c:pt>
                <c:pt idx="109">
                  <c:v>2005</c:v>
                </c:pt>
                <c:pt idx="110">
                  <c:v>2006</c:v>
                </c:pt>
                <c:pt idx="111">
                  <c:v>2007</c:v>
                </c:pt>
                <c:pt idx="112">
                  <c:v>2008</c:v>
                </c:pt>
                <c:pt idx="113">
                  <c:v>2009</c:v>
                </c:pt>
                <c:pt idx="114">
                  <c:v>2010</c:v>
                </c:pt>
                <c:pt idx="115">
                  <c:v>2011</c:v>
                </c:pt>
                <c:pt idx="116">
                  <c:v>2012</c:v>
                </c:pt>
                <c:pt idx="117">
                  <c:v>2013</c:v>
                </c:pt>
              </c:numCache>
            </c:numRef>
          </c:xVal>
          <c:yVal>
            <c:numRef>
              <c:f>'Monsoon Data'!$B$3:$B$120</c:f>
              <c:numCache>
                <c:formatCode>0.00</c:formatCode>
                <c:ptCount val="118"/>
                <c:pt idx="0">
                  <c:v>7.2</c:v>
                </c:pt>
                <c:pt idx="1">
                  <c:v>6.03</c:v>
                </c:pt>
                <c:pt idx="2">
                  <c:v>1.32</c:v>
                </c:pt>
                <c:pt idx="3">
                  <c:v>2.74</c:v>
                </c:pt>
                <c:pt idx="4">
                  <c:v>1.83</c:v>
                </c:pt>
                <c:pt idx="5">
                  <c:v>2.08</c:v>
                </c:pt>
                <c:pt idx="6">
                  <c:v>2.46</c:v>
                </c:pt>
                <c:pt idx="7">
                  <c:v>4.5599999999999996</c:v>
                </c:pt>
                <c:pt idx="8">
                  <c:v>4.7300000000000004</c:v>
                </c:pt>
                <c:pt idx="9">
                  <c:v>2.4300000000000002</c:v>
                </c:pt>
                <c:pt idx="10">
                  <c:v>2.27</c:v>
                </c:pt>
                <c:pt idx="11">
                  <c:v>3</c:v>
                </c:pt>
                <c:pt idx="12">
                  <c:v>4.3</c:v>
                </c:pt>
                <c:pt idx="13">
                  <c:v>3.36</c:v>
                </c:pt>
                <c:pt idx="14">
                  <c:v>0.79</c:v>
                </c:pt>
                <c:pt idx="15">
                  <c:v>9.31</c:v>
                </c:pt>
                <c:pt idx="16">
                  <c:v>2.15</c:v>
                </c:pt>
                <c:pt idx="17">
                  <c:v>1.39</c:v>
                </c:pt>
                <c:pt idx="18">
                  <c:v>0.51</c:v>
                </c:pt>
                <c:pt idx="19">
                  <c:v>1.47</c:v>
                </c:pt>
                <c:pt idx="20">
                  <c:v>2.73</c:v>
                </c:pt>
                <c:pt idx="21">
                  <c:v>4.63</c:v>
                </c:pt>
                <c:pt idx="22">
                  <c:v>4.96</c:v>
                </c:pt>
                <c:pt idx="23">
                  <c:v>5.38</c:v>
                </c:pt>
                <c:pt idx="24">
                  <c:v>1.1000000000000001</c:v>
                </c:pt>
                <c:pt idx="25">
                  <c:v>2.33</c:v>
                </c:pt>
                <c:pt idx="26">
                  <c:v>1.45</c:v>
                </c:pt>
                <c:pt idx="27">
                  <c:v>2.39</c:v>
                </c:pt>
                <c:pt idx="28">
                  <c:v>0.35</c:v>
                </c:pt>
                <c:pt idx="29">
                  <c:v>1.8</c:v>
                </c:pt>
                <c:pt idx="30">
                  <c:v>4.9400000000000004</c:v>
                </c:pt>
                <c:pt idx="31">
                  <c:v>1.83</c:v>
                </c:pt>
                <c:pt idx="32">
                  <c:v>2.02</c:v>
                </c:pt>
                <c:pt idx="33">
                  <c:v>3.07</c:v>
                </c:pt>
                <c:pt idx="34">
                  <c:v>1.94</c:v>
                </c:pt>
                <c:pt idx="35">
                  <c:v>1.95</c:v>
                </c:pt>
                <c:pt idx="36">
                  <c:v>0.61</c:v>
                </c:pt>
                <c:pt idx="37">
                  <c:v>2.5099999999999998</c:v>
                </c:pt>
                <c:pt idx="38">
                  <c:v>1.87</c:v>
                </c:pt>
                <c:pt idx="39">
                  <c:v>3.5</c:v>
                </c:pt>
                <c:pt idx="40">
                  <c:v>3.24</c:v>
                </c:pt>
                <c:pt idx="41">
                  <c:v>1.71</c:v>
                </c:pt>
                <c:pt idx="42">
                  <c:v>1.5</c:v>
                </c:pt>
                <c:pt idx="43">
                  <c:v>7.3</c:v>
                </c:pt>
                <c:pt idx="44">
                  <c:v>2.57</c:v>
                </c:pt>
                <c:pt idx="45">
                  <c:v>4.03</c:v>
                </c:pt>
                <c:pt idx="46">
                  <c:v>2.5499999999999998</c:v>
                </c:pt>
                <c:pt idx="47">
                  <c:v>6.1499999999999986</c:v>
                </c:pt>
                <c:pt idx="48">
                  <c:v>0.86</c:v>
                </c:pt>
                <c:pt idx="49">
                  <c:v>1.34</c:v>
                </c:pt>
                <c:pt idx="50">
                  <c:v>7.45</c:v>
                </c:pt>
                <c:pt idx="51">
                  <c:v>1.73</c:v>
                </c:pt>
                <c:pt idx="52">
                  <c:v>1.04</c:v>
                </c:pt>
                <c:pt idx="53">
                  <c:v>1.8</c:v>
                </c:pt>
                <c:pt idx="54">
                  <c:v>2.35</c:v>
                </c:pt>
                <c:pt idx="55">
                  <c:v>6.96</c:v>
                </c:pt>
                <c:pt idx="56">
                  <c:v>2.93</c:v>
                </c:pt>
                <c:pt idx="57">
                  <c:v>1.27</c:v>
                </c:pt>
                <c:pt idx="58">
                  <c:v>1.37</c:v>
                </c:pt>
                <c:pt idx="59">
                  <c:v>5.99</c:v>
                </c:pt>
                <c:pt idx="60">
                  <c:v>1.41</c:v>
                </c:pt>
                <c:pt idx="61">
                  <c:v>1.57</c:v>
                </c:pt>
                <c:pt idx="62">
                  <c:v>3.33</c:v>
                </c:pt>
                <c:pt idx="63">
                  <c:v>1.85</c:v>
                </c:pt>
                <c:pt idx="64">
                  <c:v>1.19</c:v>
                </c:pt>
                <c:pt idx="65">
                  <c:v>2.73</c:v>
                </c:pt>
                <c:pt idx="66">
                  <c:v>0.86</c:v>
                </c:pt>
                <c:pt idx="67">
                  <c:v>2.71</c:v>
                </c:pt>
                <c:pt idx="68">
                  <c:v>3.69</c:v>
                </c:pt>
                <c:pt idx="69">
                  <c:v>1.85</c:v>
                </c:pt>
                <c:pt idx="70">
                  <c:v>4.4800000000000004</c:v>
                </c:pt>
                <c:pt idx="71">
                  <c:v>1.58</c:v>
                </c:pt>
                <c:pt idx="72">
                  <c:v>2.29</c:v>
                </c:pt>
                <c:pt idx="73">
                  <c:v>2.5299999999999998</c:v>
                </c:pt>
                <c:pt idx="74">
                  <c:v>4.3499999999999996</c:v>
                </c:pt>
                <c:pt idx="75">
                  <c:v>2.15</c:v>
                </c:pt>
                <c:pt idx="76">
                  <c:v>3.84</c:v>
                </c:pt>
                <c:pt idx="77">
                  <c:v>1.3</c:v>
                </c:pt>
                <c:pt idx="78">
                  <c:v>3.06</c:v>
                </c:pt>
                <c:pt idx="79">
                  <c:v>1.2</c:v>
                </c:pt>
                <c:pt idx="80">
                  <c:v>3.38</c:v>
                </c:pt>
                <c:pt idx="81">
                  <c:v>1.01</c:v>
                </c:pt>
                <c:pt idx="82">
                  <c:v>3.24</c:v>
                </c:pt>
                <c:pt idx="83">
                  <c:v>1.61</c:v>
                </c:pt>
                <c:pt idx="84">
                  <c:v>0.78</c:v>
                </c:pt>
                <c:pt idx="85">
                  <c:v>1.43</c:v>
                </c:pt>
                <c:pt idx="86">
                  <c:v>2.52</c:v>
                </c:pt>
                <c:pt idx="87">
                  <c:v>5.29</c:v>
                </c:pt>
                <c:pt idx="88">
                  <c:v>9.56</c:v>
                </c:pt>
                <c:pt idx="89">
                  <c:v>2.79</c:v>
                </c:pt>
                <c:pt idx="90">
                  <c:v>2.94</c:v>
                </c:pt>
                <c:pt idx="91">
                  <c:v>2.1</c:v>
                </c:pt>
                <c:pt idx="92">
                  <c:v>1.52</c:v>
                </c:pt>
                <c:pt idx="93">
                  <c:v>1.71</c:v>
                </c:pt>
                <c:pt idx="94">
                  <c:v>4.8599999999999977</c:v>
                </c:pt>
                <c:pt idx="95">
                  <c:v>1.07</c:v>
                </c:pt>
                <c:pt idx="96">
                  <c:v>4.28</c:v>
                </c:pt>
                <c:pt idx="97">
                  <c:v>0.61</c:v>
                </c:pt>
                <c:pt idx="98">
                  <c:v>2.0099999999999998</c:v>
                </c:pt>
                <c:pt idx="99">
                  <c:v>4.58</c:v>
                </c:pt>
                <c:pt idx="100">
                  <c:v>1.92</c:v>
                </c:pt>
                <c:pt idx="101">
                  <c:v>2.0099999999999998</c:v>
                </c:pt>
                <c:pt idx="102">
                  <c:v>3.57</c:v>
                </c:pt>
                <c:pt idx="103">
                  <c:v>5.1899999999999986</c:v>
                </c:pt>
                <c:pt idx="104">
                  <c:v>1.21</c:v>
                </c:pt>
                <c:pt idx="105">
                  <c:v>1.1399999999999999</c:v>
                </c:pt>
                <c:pt idx="106">
                  <c:v>1.68</c:v>
                </c:pt>
                <c:pt idx="107">
                  <c:v>1.37</c:v>
                </c:pt>
                <c:pt idx="108">
                  <c:v>1.1000000000000001</c:v>
                </c:pt>
                <c:pt idx="109">
                  <c:v>1.53</c:v>
                </c:pt>
                <c:pt idx="110">
                  <c:v>3.33</c:v>
                </c:pt>
                <c:pt idx="111">
                  <c:v>0.74</c:v>
                </c:pt>
                <c:pt idx="112">
                  <c:v>5.7</c:v>
                </c:pt>
                <c:pt idx="113">
                  <c:v>0.87</c:v>
                </c:pt>
                <c:pt idx="114">
                  <c:v>2.48</c:v>
                </c:pt>
                <c:pt idx="115">
                  <c:v>1.6</c:v>
                </c:pt>
                <c:pt idx="116">
                  <c:v>3</c:v>
                </c:pt>
                <c:pt idx="117">
                  <c:v>2.99</c:v>
                </c:pt>
              </c:numCache>
            </c:numRef>
          </c:yVal>
          <c:smooth val="1"/>
          <c:extLst>
            <c:ext xmlns:c16="http://schemas.microsoft.com/office/drawing/2014/chart" uri="{C3380CC4-5D6E-409C-BE32-E72D297353CC}">
              <c16:uniqueId val="{00000000-1829-1046-93CD-A723EF328E91}"/>
            </c:ext>
          </c:extLst>
        </c:ser>
        <c:dLbls>
          <c:showLegendKey val="0"/>
          <c:showVal val="0"/>
          <c:showCatName val="0"/>
          <c:showSerName val="0"/>
          <c:showPercent val="0"/>
          <c:showBubbleSize val="0"/>
        </c:dLbls>
        <c:axId val="2108135800"/>
        <c:axId val="2108160856"/>
      </c:scatterChart>
      <c:valAx>
        <c:axId val="2108135800"/>
        <c:scaling>
          <c:orientation val="minMax"/>
        </c:scaling>
        <c:delete val="0"/>
        <c:axPos val="b"/>
        <c:title>
          <c:tx>
            <c:rich>
              <a:bodyPr/>
              <a:lstStyle/>
              <a:p>
                <a:pPr>
                  <a:defRPr/>
                </a:pPr>
                <a:r>
                  <a:rPr lang="es-DO"/>
                  <a:t>Year</a:t>
                </a:r>
              </a:p>
            </c:rich>
          </c:tx>
          <c:overlay val="0"/>
        </c:title>
        <c:numFmt formatCode="General" sourceLinked="1"/>
        <c:majorTickMark val="none"/>
        <c:minorTickMark val="none"/>
        <c:tickLblPos val="nextTo"/>
        <c:crossAx val="2108160856"/>
        <c:crosses val="autoZero"/>
        <c:crossBetween val="midCat"/>
      </c:valAx>
      <c:valAx>
        <c:axId val="2108160856"/>
        <c:scaling>
          <c:orientation val="minMax"/>
        </c:scaling>
        <c:delete val="0"/>
        <c:axPos val="l"/>
        <c:majorGridlines/>
        <c:title>
          <c:tx>
            <c:rich>
              <a:bodyPr/>
              <a:lstStyle/>
              <a:p>
                <a:pPr>
                  <a:defRPr/>
                </a:pPr>
                <a:r>
                  <a:rPr lang="es-DO"/>
                  <a:t>Inches of rainfall</a:t>
                </a:r>
              </a:p>
            </c:rich>
          </c:tx>
          <c:overlay val="0"/>
        </c:title>
        <c:numFmt formatCode="0.00" sourceLinked="1"/>
        <c:majorTickMark val="none"/>
        <c:minorTickMark val="none"/>
        <c:tickLblPos val="nextTo"/>
        <c:crossAx val="210813580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mneff</dc:creator>
  <cp:keywords/>
  <dc:description/>
  <cp:lastModifiedBy>Michael Phillips</cp:lastModifiedBy>
  <cp:revision>3</cp:revision>
  <dcterms:created xsi:type="dcterms:W3CDTF">2024-07-14T17:19:00Z</dcterms:created>
  <dcterms:modified xsi:type="dcterms:W3CDTF">2024-07-14T17:23:00Z</dcterms:modified>
</cp:coreProperties>
</file>